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rPr>
          <w:sz w:val="36"/>
          <w:szCs w:val="36"/>
        </w:rPr>
      </w:pPr>
      <w:r>
        <w:rPr>
          <w:rFonts w:hint="eastAsia"/>
          <w:sz w:val="36"/>
          <w:szCs w:val="36"/>
        </w:rPr>
        <w:t>起重机械使用单位日管控安全检查记录</w:t>
      </w:r>
    </w:p>
    <w:tbl>
      <w:tblPr>
        <w:tblStyle w:val="12"/>
        <w:tblW w:w="9561" w:type="dxa"/>
        <w:tblInd w:w="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35" w:type="dxa"/>
          <w:left w:w="9" w:type="dxa"/>
          <w:bottom w:w="0" w:type="dxa"/>
          <w:right w:w="0" w:type="dxa"/>
        </w:tblCellMar>
      </w:tblPr>
      <w:tblGrid>
        <w:gridCol w:w="2133"/>
        <w:gridCol w:w="4636"/>
        <w:gridCol w:w="993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454" w:hRule="atLeast"/>
        </w:trPr>
        <w:tc>
          <w:tcPr>
            <w:tcW w:w="2133" w:type="dxa"/>
            <w:vAlign w:val="center"/>
          </w:tcPr>
          <w:p>
            <w:pPr>
              <w:spacing w:line="259" w:lineRule="auto"/>
              <w:ind w:right="1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cs="黑体" w:asciiTheme="minorEastAsia" w:hAnsiTheme="minorEastAsia"/>
                <w:lang w:eastAsia="zh-CN"/>
              </w:rPr>
              <w:t>设备编号</w:t>
            </w:r>
          </w:p>
        </w:tc>
        <w:tc>
          <w:tcPr>
            <w:tcW w:w="7428" w:type="dxa"/>
            <w:gridSpan w:val="3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33" w:type="dxa"/>
            <w:vAlign w:val="center"/>
          </w:tcPr>
          <w:p>
            <w:pPr>
              <w:spacing w:line="259" w:lineRule="auto"/>
              <w:ind w:right="1"/>
              <w:jc w:val="center"/>
              <w:rPr>
                <w:rFonts w:asciiTheme="minorEastAsia" w:hAnsiTheme="minorEastAsia"/>
              </w:rPr>
            </w:pPr>
            <w:r>
              <w:rPr>
                <w:rFonts w:cs="黑体" w:asciiTheme="minorEastAsia" w:hAnsiTheme="minorEastAsia"/>
              </w:rPr>
              <w:t>检查项目</w:t>
            </w:r>
          </w:p>
        </w:tc>
        <w:tc>
          <w:tcPr>
            <w:tcW w:w="4636" w:type="dxa"/>
            <w:vAlign w:val="center"/>
          </w:tcPr>
          <w:p>
            <w:pPr>
              <w:spacing w:line="259" w:lineRule="auto"/>
              <w:ind w:right="7"/>
              <w:jc w:val="center"/>
              <w:rPr>
                <w:rFonts w:asciiTheme="minorEastAsia" w:hAnsiTheme="minorEastAsia"/>
              </w:rPr>
            </w:pPr>
            <w:r>
              <w:rPr>
                <w:rFonts w:cs="黑体" w:asciiTheme="minorEastAsia" w:hAnsiTheme="minorEastAsia"/>
              </w:rPr>
              <w:t>检查内容</w:t>
            </w:r>
          </w:p>
        </w:tc>
        <w:tc>
          <w:tcPr>
            <w:tcW w:w="993" w:type="dxa"/>
            <w:vAlign w:val="center"/>
          </w:tcPr>
          <w:p>
            <w:pPr>
              <w:spacing w:line="259" w:lineRule="auto"/>
              <w:ind w:left="126"/>
              <w:rPr>
                <w:rFonts w:asciiTheme="minorEastAsia" w:hAnsiTheme="minorEastAsia"/>
              </w:rPr>
            </w:pPr>
            <w:r>
              <w:rPr>
                <w:rFonts w:cs="黑体" w:asciiTheme="minorEastAsia" w:hAnsiTheme="minorEastAsia"/>
              </w:rPr>
              <w:t>检查结果</w:t>
            </w:r>
          </w:p>
        </w:tc>
        <w:tc>
          <w:tcPr>
            <w:tcW w:w="1799" w:type="dxa"/>
            <w:vAlign w:val="center"/>
          </w:tcPr>
          <w:p>
            <w:pPr>
              <w:spacing w:line="259" w:lineRule="auto"/>
              <w:ind w:right="13"/>
              <w:jc w:val="center"/>
              <w:rPr>
                <w:rFonts w:asciiTheme="minorEastAsia" w:hAnsiTheme="minorEastAsia"/>
              </w:rPr>
            </w:pPr>
            <w:r>
              <w:rPr>
                <w:rFonts w:cs="黑体" w:asciiTheme="minorEastAsia" w:hAnsiTheme="minorEastAsia"/>
              </w:rPr>
              <w:t>问题记录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550" w:hRule="atLeast"/>
        </w:trPr>
        <w:tc>
          <w:tcPr>
            <w:tcW w:w="2133" w:type="dxa"/>
            <w:vAlign w:val="center"/>
          </w:tcPr>
          <w:p>
            <w:pPr>
              <w:spacing w:line="259" w:lineRule="auto"/>
              <w:ind w:left="168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起重机械人员</w:t>
            </w:r>
          </w:p>
        </w:tc>
        <w:tc>
          <w:tcPr>
            <w:tcW w:w="4636" w:type="dxa"/>
          </w:tcPr>
          <w:p>
            <w:pPr>
              <w:spacing w:line="259" w:lineRule="auto"/>
              <w:jc w:val="left"/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相关作业人员是否持证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;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是否在有效期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;是否经过培训。</w:t>
            </w:r>
          </w:p>
        </w:tc>
        <w:tc>
          <w:tcPr>
            <w:tcW w:w="993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550" w:hRule="atLeast"/>
        </w:trPr>
        <w:tc>
          <w:tcPr>
            <w:tcW w:w="2133" w:type="dxa"/>
            <w:vAlign w:val="center"/>
          </w:tcPr>
          <w:p>
            <w:pPr>
              <w:spacing w:line="259" w:lineRule="auto"/>
              <w:ind w:left="168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运行环境</w:t>
            </w:r>
          </w:p>
        </w:tc>
        <w:tc>
          <w:tcPr>
            <w:tcW w:w="4636" w:type="dxa"/>
          </w:tcPr>
          <w:p>
            <w:pPr>
              <w:spacing w:line="259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t>起重机是否处于整洁环境，并且远离油罐、废料、工具或物料，已有安全储藏措施的情况除外检查起重机械的出入口，要求无障碍以及相应的灭火设施应完备</w:t>
            </w:r>
            <w:r>
              <w:rPr>
                <w:rFonts w:hint="eastAsia"/>
              </w:rPr>
              <w:t>。</w:t>
            </w:r>
            <w:r>
              <w:t>在作业区域内无影响安全作业的障碍物、高压线，运行轨道上无障碍物</w:t>
            </w:r>
            <w:r>
              <w:rPr>
                <w:rFonts w:hint="eastAsia"/>
              </w:rPr>
              <w:t>。</w:t>
            </w:r>
          </w:p>
        </w:tc>
        <w:tc>
          <w:tcPr>
            <w:tcW w:w="993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27" w:hRule="atLeast"/>
        </w:trPr>
        <w:tc>
          <w:tcPr>
            <w:tcW w:w="2133" w:type="dxa"/>
            <w:vMerge w:val="restart"/>
            <w:vAlign w:val="center"/>
          </w:tcPr>
          <w:p>
            <w:pPr>
              <w:spacing w:line="259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设备本体</w:t>
            </w:r>
          </w:p>
          <w:p>
            <w:pPr>
              <w:spacing w:line="259" w:lineRule="auto"/>
              <w:ind w:left="16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36" w:type="dxa"/>
            <w:vAlign w:val="center"/>
          </w:tcPr>
          <w:p>
            <w:pPr>
              <w:spacing w:line="259" w:lineRule="auto"/>
              <w:jc w:val="left"/>
            </w:pPr>
            <w:r>
              <w:t>外观检查有关的台面和</w:t>
            </w:r>
            <w:r>
              <w:rPr>
                <w:rFonts w:ascii="Times New Roman" w:hAnsi="Times New Roman" w:eastAsia="Times New Roman" w:cs="Times New Roman"/>
              </w:rPr>
              <w:t>(</w:t>
            </w:r>
            <w:r>
              <w:t>或</w:t>
            </w:r>
            <w:r>
              <w:rPr>
                <w:rFonts w:ascii="Times New Roman" w:hAnsi="Times New Roman" w:eastAsia="Times New Roman" w:cs="Times New Roman"/>
              </w:rPr>
              <w:t>)</w:t>
            </w:r>
            <w:r>
              <w:t>部件，无润滑油和冷却剂等液体的洒落</w:t>
            </w:r>
            <w:r>
              <w:rPr>
                <w:rFonts w:hint="eastAsia"/>
              </w:rPr>
              <w:t>。</w:t>
            </w:r>
          </w:p>
        </w:tc>
        <w:tc>
          <w:tcPr>
            <w:tcW w:w="993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820" w:hRule="atLeast"/>
        </w:trPr>
        <w:tc>
          <w:tcPr>
            <w:tcW w:w="2133" w:type="dxa"/>
            <w:vMerge w:val="continue"/>
            <w:vAlign w:val="center"/>
          </w:tcPr>
          <w:p>
            <w:pPr>
              <w:spacing w:line="259" w:lineRule="auto"/>
              <w:ind w:left="16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36" w:type="dxa"/>
            <w:vAlign w:val="center"/>
          </w:tcPr>
          <w:p>
            <w:pPr>
              <w:spacing w:line="259" w:lineRule="auto"/>
              <w:jc w:val="left"/>
            </w:pPr>
            <w:r>
              <w:t>检查所有的限制装置或保险装置以及固定手柄或操纵杆的操作状态</w:t>
            </w:r>
            <w:r>
              <w:rPr>
                <w:rFonts w:hint="eastAsia"/>
              </w:rPr>
              <w:t>。</w:t>
            </w:r>
          </w:p>
        </w:tc>
        <w:tc>
          <w:tcPr>
            <w:tcW w:w="993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454" w:hRule="atLeast"/>
        </w:trPr>
        <w:tc>
          <w:tcPr>
            <w:tcW w:w="2133" w:type="dxa"/>
            <w:vMerge w:val="continue"/>
            <w:vAlign w:val="center"/>
          </w:tcPr>
          <w:p>
            <w:pPr>
              <w:spacing w:line="259" w:lineRule="auto"/>
              <w:ind w:left="16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36" w:type="dxa"/>
            <w:vAlign w:val="center"/>
          </w:tcPr>
          <w:p>
            <w:pPr>
              <w:spacing w:line="259" w:lineRule="auto"/>
              <w:jc w:val="left"/>
            </w:pPr>
            <w:r>
              <w:t>起重机车轮和轮胎的安全状况</w:t>
            </w:r>
            <w:r>
              <w:rPr>
                <w:rFonts w:hint="eastAsia"/>
              </w:rPr>
              <w:t>。</w:t>
            </w:r>
          </w:p>
        </w:tc>
        <w:tc>
          <w:tcPr>
            <w:tcW w:w="993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366" w:hRule="atLeast"/>
        </w:trPr>
        <w:tc>
          <w:tcPr>
            <w:tcW w:w="2133" w:type="dxa"/>
            <w:vMerge w:val="continue"/>
            <w:vAlign w:val="center"/>
          </w:tcPr>
          <w:p>
            <w:pPr>
              <w:spacing w:line="259" w:lineRule="auto"/>
              <w:ind w:left="16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36" w:type="dxa"/>
          </w:tcPr>
          <w:p>
            <w:pPr>
              <w:spacing w:after="160" w:line="259" w:lineRule="auto"/>
              <w:jc w:val="left"/>
            </w:pPr>
            <w:r>
              <w:t>钢丝绳在滑轮和卷筒上缠绕正常，没有错位</w:t>
            </w:r>
            <w:r>
              <w:rPr>
                <w:rFonts w:hint="eastAsia"/>
              </w:rPr>
              <w:t>。</w:t>
            </w:r>
          </w:p>
        </w:tc>
        <w:tc>
          <w:tcPr>
            <w:tcW w:w="993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736" w:hRule="atLeast"/>
        </w:trPr>
        <w:tc>
          <w:tcPr>
            <w:tcW w:w="2133" w:type="dxa"/>
            <w:vMerge w:val="continue"/>
          </w:tcPr>
          <w:p>
            <w:pPr>
              <w:spacing w:line="259" w:lineRule="auto"/>
              <w:ind w:left="16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36" w:type="dxa"/>
          </w:tcPr>
          <w:p>
            <w:pPr>
              <w:spacing w:line="259" w:lineRule="auto"/>
              <w:jc w:val="left"/>
            </w:pPr>
            <w:r>
              <w:t>检查吊钩和其他吊具、安全卡、旋转接头有无损坏、异常活动或磨损。</w:t>
            </w:r>
          </w:p>
        </w:tc>
        <w:tc>
          <w:tcPr>
            <w:tcW w:w="993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</w:trPr>
        <w:tc>
          <w:tcPr>
            <w:tcW w:w="2133" w:type="dxa"/>
            <w:vMerge w:val="restart"/>
          </w:tcPr>
          <w:p>
            <w:pPr>
              <w:spacing w:after="160" w:line="259" w:lineRule="auto"/>
              <w:ind w:firstLine="105" w:firstLineChars="50"/>
              <w:jc w:val="center"/>
              <w:rPr>
                <w:rFonts w:hint="eastAsia" w:asciiTheme="minorEastAsia" w:hAnsiTheme="minorEastAsia"/>
              </w:rPr>
            </w:pPr>
          </w:p>
          <w:p>
            <w:pPr>
              <w:spacing w:after="160" w:line="259" w:lineRule="auto"/>
              <w:ind w:firstLine="105" w:firstLineChars="50"/>
              <w:jc w:val="center"/>
              <w:rPr>
                <w:rFonts w:hint="eastAsia" w:asciiTheme="minorEastAsia" w:hAnsiTheme="minorEastAsia"/>
              </w:rPr>
            </w:pPr>
          </w:p>
          <w:p>
            <w:pPr>
              <w:spacing w:after="160" w:line="259" w:lineRule="auto"/>
              <w:ind w:firstLine="105" w:firstLineChars="5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安全部件检查</w:t>
            </w:r>
          </w:p>
        </w:tc>
        <w:tc>
          <w:tcPr>
            <w:tcW w:w="4636" w:type="dxa"/>
            <w:vAlign w:val="center"/>
          </w:tcPr>
          <w:p>
            <w:pPr>
              <w:spacing w:line="259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t>所有控制系统</w:t>
            </w:r>
            <w:r>
              <w:rPr>
                <w:rFonts w:hint="eastAsia"/>
                <w:lang w:eastAsia="zh-CN"/>
              </w:rPr>
              <w:t>、</w:t>
            </w:r>
            <w:r>
              <w:t>听觉报警装置</w:t>
            </w:r>
            <w:r>
              <w:rPr>
                <w:rFonts w:hint="eastAsia"/>
                <w:lang w:eastAsia="zh-CN"/>
              </w:rPr>
              <w:t>、</w:t>
            </w:r>
            <w:r>
              <w:t>超载限制器</w:t>
            </w:r>
            <w:r>
              <w:rPr>
                <w:rFonts w:hint="eastAsia"/>
                <w:lang w:eastAsia="zh-CN"/>
              </w:rPr>
              <w:t>、</w:t>
            </w:r>
            <w:r>
              <w:t>幅度指示值</w:t>
            </w:r>
            <w:r>
              <w:rPr>
                <w:rFonts w:hint="eastAsia"/>
                <w:lang w:eastAsia="zh-CN"/>
              </w:rPr>
              <w:t>（如果有）、</w:t>
            </w:r>
            <w:r>
              <w:t>各气动控制系统中的气压</w:t>
            </w:r>
            <w:r>
              <w:rPr>
                <w:rFonts w:hint="eastAsia"/>
                <w:lang w:eastAsia="zh-CN"/>
              </w:rPr>
              <w:t>、</w:t>
            </w:r>
            <w:r>
              <w:t>是否正常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零位保护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失压保护</w:t>
            </w:r>
            <w:r>
              <w:rPr>
                <w:rFonts w:hint="eastAsia"/>
                <w:lang w:eastAsia="zh-CN"/>
              </w:rPr>
              <w:t>是否有效；</w:t>
            </w:r>
            <w:r>
              <w:t>照明灯、挡风屏雨刷</w:t>
            </w:r>
            <w:r>
              <w:rPr>
                <w:rFonts w:hint="eastAsia"/>
                <w:lang w:eastAsia="zh-CN"/>
              </w:rPr>
              <w:t>等是否正常；</w:t>
            </w:r>
            <w:r>
              <w:rPr>
                <w:rFonts w:hint="eastAsia"/>
              </w:rPr>
              <w:t>大、小车限位是否有效。</w:t>
            </w:r>
          </w:p>
        </w:tc>
        <w:tc>
          <w:tcPr>
            <w:tcW w:w="993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</w:trPr>
        <w:tc>
          <w:tcPr>
            <w:tcW w:w="2133" w:type="dxa"/>
            <w:vMerge w:val="continue"/>
          </w:tcPr>
          <w:p>
            <w:pPr>
              <w:spacing w:after="160" w:line="259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36" w:type="dxa"/>
            <w:vAlign w:val="center"/>
          </w:tcPr>
          <w:p>
            <w:pPr>
              <w:spacing w:line="259" w:lineRule="auto"/>
              <w:jc w:val="left"/>
            </w:pPr>
            <w:r>
              <w:t>在开动起重机械之前，检查制动器和离合器的功能是否正常</w:t>
            </w:r>
            <w:r>
              <w:rPr>
                <w:rFonts w:hint="eastAsia"/>
              </w:rPr>
              <w:t>。</w:t>
            </w:r>
          </w:p>
        </w:tc>
        <w:tc>
          <w:tcPr>
            <w:tcW w:w="993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497" w:hRule="atLeast"/>
        </w:trPr>
        <w:tc>
          <w:tcPr>
            <w:tcW w:w="2133" w:type="dxa"/>
            <w:vMerge w:val="continue"/>
          </w:tcPr>
          <w:p>
            <w:pPr>
              <w:spacing w:after="160" w:line="259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36" w:type="dxa"/>
            <w:vAlign w:val="center"/>
          </w:tcPr>
          <w:p>
            <w:pPr>
              <w:spacing w:line="259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钢丝绳</w:t>
            </w:r>
            <w:r>
              <w:rPr>
                <w:rFonts w:hint="eastAsia"/>
                <w:lang w:eastAsia="zh-CN"/>
              </w:rPr>
              <w:t>是否有断丝或严重磨损等情况</w:t>
            </w:r>
          </w:p>
        </w:tc>
        <w:tc>
          <w:tcPr>
            <w:tcW w:w="993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>
            <w:pPr>
              <w:spacing w:after="160" w:line="259" w:lineRule="auto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2443" w:hRule="atLeast"/>
        </w:trPr>
        <w:tc>
          <w:tcPr>
            <w:tcW w:w="2133" w:type="dxa"/>
          </w:tcPr>
          <w:p>
            <w:pPr>
              <w:spacing w:after="160" w:line="259" w:lineRule="auto"/>
              <w:ind w:firstLine="105" w:firstLineChars="50"/>
              <w:jc w:val="center"/>
              <w:rPr>
                <w:rFonts w:hint="eastAsia" w:asciiTheme="minorEastAsia" w:hAnsiTheme="minorEastAsia"/>
              </w:rPr>
            </w:pPr>
          </w:p>
          <w:p>
            <w:pPr>
              <w:spacing w:after="160" w:line="259" w:lineRule="auto"/>
              <w:ind w:firstLine="105" w:firstLineChars="50"/>
              <w:jc w:val="center"/>
              <w:rPr>
                <w:rFonts w:hint="eastAsia" w:asciiTheme="minorEastAsia" w:hAnsiTheme="minorEastAsia"/>
              </w:rPr>
            </w:pPr>
          </w:p>
          <w:p>
            <w:pPr>
              <w:spacing w:after="160" w:line="259" w:lineRule="auto"/>
              <w:ind w:firstLine="105" w:firstLineChars="50"/>
              <w:jc w:val="center"/>
              <w:rPr>
                <w:rFonts w:hint="eastAsia" w:asciiTheme="minorEastAsia" w:hAnsiTheme="minorEastAsi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其他异常情况及采取措施</w:t>
            </w:r>
          </w:p>
        </w:tc>
        <w:tc>
          <w:tcPr>
            <w:tcW w:w="4636" w:type="dxa"/>
            <w:vAlign w:val="center"/>
          </w:tcPr>
          <w:p>
            <w:pPr>
              <w:spacing w:after="160" w:line="259" w:lineRule="auto"/>
              <w:ind w:firstLine="105" w:firstLineChars="50"/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993" w:type="dxa"/>
          </w:tcPr>
          <w:p>
            <w:pPr>
              <w:spacing w:after="160" w:line="259" w:lineRule="auto"/>
              <w:ind w:firstLine="105" w:firstLineChars="50"/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after="160" w:line="259" w:lineRule="auto"/>
              <w:ind w:firstLine="105" w:firstLineChars="50"/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35" w:type="dxa"/>
            <w:left w:w="9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3" w:type="dxa"/>
          </w:tcPr>
          <w:p>
            <w:pPr>
              <w:spacing w:after="160" w:line="259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安全员</w:t>
            </w:r>
          </w:p>
        </w:tc>
        <w:tc>
          <w:tcPr>
            <w:tcW w:w="4636" w:type="dxa"/>
            <w:vAlign w:val="center"/>
          </w:tcPr>
          <w:p>
            <w:pPr>
              <w:spacing w:line="259" w:lineRule="auto"/>
              <w:ind w:left="32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160" w:line="259" w:lineRule="auto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799" w:type="dxa"/>
            <w:vAlign w:val="center"/>
          </w:tcPr>
          <w:p>
            <w:pPr>
              <w:spacing w:line="259" w:lineRule="auto"/>
              <w:ind w:left="1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/>
        </w:rPr>
        <w:t>注：</w:t>
      </w:r>
      <w:r>
        <w:rPr>
          <w:rFonts w:cs="Times New Roman" w:asciiTheme="minorEastAsia" w:hAnsiTheme="minorEastAsia"/>
        </w:rPr>
        <w:t>1.</w:t>
      </w:r>
      <w:r>
        <w:rPr>
          <w:rFonts w:asciiTheme="minorEastAsia" w:hAnsiTheme="minorEastAsia"/>
        </w:rPr>
        <w:t>本记录表为建议表格，使用单位可根据本单位实际情况修改。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wOTEwNjA2MTNlYWVlNWJlNjViOTAwZjVlOTNmMzYifQ=="/>
  </w:docVars>
  <w:rsids>
    <w:rsidRoot w:val="00DC610D"/>
    <w:rsid w:val="000615B5"/>
    <w:rsid w:val="00062B1A"/>
    <w:rsid w:val="001320BE"/>
    <w:rsid w:val="002074A8"/>
    <w:rsid w:val="003873F9"/>
    <w:rsid w:val="004776E8"/>
    <w:rsid w:val="00480153"/>
    <w:rsid w:val="00497812"/>
    <w:rsid w:val="006073CE"/>
    <w:rsid w:val="0075109C"/>
    <w:rsid w:val="007B2975"/>
    <w:rsid w:val="009477EC"/>
    <w:rsid w:val="00A151C7"/>
    <w:rsid w:val="00A17A8D"/>
    <w:rsid w:val="00A34B2A"/>
    <w:rsid w:val="00A41143"/>
    <w:rsid w:val="00B913A3"/>
    <w:rsid w:val="00BA682D"/>
    <w:rsid w:val="00BA7902"/>
    <w:rsid w:val="00BE2A40"/>
    <w:rsid w:val="00BE301F"/>
    <w:rsid w:val="00C41CA6"/>
    <w:rsid w:val="00CD1FFC"/>
    <w:rsid w:val="00DC610D"/>
    <w:rsid w:val="00F65D09"/>
    <w:rsid w:val="00F73DAD"/>
    <w:rsid w:val="0B6F4BE5"/>
    <w:rsid w:val="4B663938"/>
    <w:rsid w:val="4ECF5C98"/>
    <w:rsid w:val="61483D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next w:val="1"/>
    <w:link w:val="11"/>
    <w:unhideWhenUsed/>
    <w:qFormat/>
    <w:uiPriority w:val="9"/>
    <w:pPr>
      <w:keepNext/>
      <w:keepLines/>
      <w:spacing w:line="265" w:lineRule="auto"/>
      <w:ind w:left="11" w:hanging="10"/>
      <w:jc w:val="center"/>
      <w:outlineLvl w:val="2"/>
    </w:pPr>
    <w:rPr>
      <w:rFonts w:ascii="黑体" w:hAnsi="黑体" w:eastAsia="黑体" w:cs="黑体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4"/>
    <w:semiHidden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3 Char"/>
    <w:basedOn w:val="8"/>
    <w:link w:val="4"/>
    <w:qFormat/>
    <w:uiPriority w:val="9"/>
    <w:rPr>
      <w:rFonts w:ascii="黑体" w:hAnsi="黑体" w:eastAsia="黑体" w:cs="黑体"/>
      <w:color w:val="000000"/>
      <w:sz w:val="30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正文文本缩进 Char"/>
    <w:basedOn w:val="8"/>
    <w:link w:val="3"/>
    <w:semiHidden/>
    <w:qFormat/>
    <w:uiPriority w:val="99"/>
  </w:style>
  <w:style w:type="character" w:customStyle="1" w:styleId="14">
    <w:name w:val="正文首行缩进 2 Char"/>
    <w:basedOn w:val="13"/>
    <w:link w:val="2"/>
    <w:semiHidden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488</Characters>
  <Lines>5</Lines>
  <Paragraphs>1</Paragraphs>
  <TotalTime>2</TotalTime>
  <ScaleCrop>false</ScaleCrop>
  <LinksUpToDate>false</LinksUpToDate>
  <CharactersWithSpaces>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2023-08-09T07:50:00Z</dcterms:created>
  <dc:creator>ASUS</dc:creator>
  <cp:lastModifiedBy>平常心</cp:lastModifiedBy>
  <dcterms:modified xsi:type="dcterms:W3CDTF">2023-08-25T01:55:56Z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FAF82789B1F6431FB263BD695E079529_12</vt:lpwstr>
  </property>
</Properties>
</file>