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ascii="Times New Roman" w:hAnsi="Times New Roman"/>
        </w:rPr>
      </w:pPr>
      <w:r>
        <w:rPr>
          <w:rFonts w:hint="eastAsia" w:ascii="Times New Roman" w:hAnsi="Times New Roman"/>
          <w:lang w:val="en-US" w:eastAsia="zh-CN"/>
        </w:rPr>
        <w:t>宝鸡市</w:t>
      </w:r>
      <w:r>
        <w:rPr>
          <w:rFonts w:ascii="Times New Roman" w:hAnsi="Times New Roman"/>
        </w:rPr>
        <w:t>地方标准</w:t>
      </w:r>
    </w:p>
    <w:p>
      <w:pPr>
        <w:pStyle w:val="20"/>
        <w:framePr w:x="1606" w:y="2960"/>
        <w:rPr>
          <w:rFonts w:hint="default" w:ascii="Times New Roman" w:eastAsia="黑体"/>
          <w:lang w:val="en-US" w:eastAsia="zh-CN"/>
        </w:rPr>
      </w:pPr>
      <w:r>
        <w:rPr>
          <w:rFonts w:ascii="Times New Roman"/>
        </w:rPr>
        <w:t xml:space="preserve">DB </w:t>
      </w:r>
      <w:r>
        <w:rPr>
          <w:rFonts w:hint="eastAsia" w:ascii="Times New Roman"/>
          <w:lang w:val="en-US" w:eastAsia="zh-CN"/>
        </w:rPr>
        <w:t>6103</w:t>
      </w:r>
      <w:r>
        <w:rPr>
          <w:rFonts w:ascii="Times New Roman"/>
        </w:rPr>
        <w:t>/</w:t>
      </w:r>
      <w:r>
        <w:rPr>
          <w:rFonts w:hint="eastAsia" w:ascii="Times New Roman"/>
        </w:rPr>
        <w:t>T</w:t>
      </w:r>
    </w:p>
    <w:tbl>
      <w:tblPr>
        <w:tblStyle w:val="10"/>
        <w:tblpPr w:leftFromText="180" w:rightFromText="180" w:vertAnchor="text" w:horzAnchor="page" w:tblpX="2646" w:tblpY="42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9"/>
              <w:framePr w:w="0" w:hRule="auto" w:hSpace="0" w:wrap="auto" w:vAnchor="margin" w:hAnchor="text" w:xAlign="left" w:yAlign="inline"/>
              <w:rPr>
                <w:rFonts w:ascii="Times New Roman"/>
              </w:rPr>
            </w:pPr>
          </w:p>
        </w:tc>
      </w:tr>
    </w:tbl>
    <w:p>
      <w:pPr>
        <w:pStyle w:val="17"/>
        <w:keepNext w:val="0"/>
        <w:keepLines w:val="0"/>
        <w:pageBreakBefore w:val="0"/>
        <w:widowControl w:val="0"/>
        <w:kinsoku/>
        <w:wordWrap/>
        <w:overflowPunct/>
        <w:topLinePunct w:val="0"/>
        <w:autoSpaceDE/>
        <w:autoSpaceDN/>
        <w:bidi w:val="0"/>
        <w:adjustRightInd/>
        <w:snapToGrid/>
        <w:spacing w:line="620" w:lineRule="exact"/>
        <w:textAlignment w:val="center"/>
        <w:rPr>
          <w:rFonts w:hint="eastAsia" w:eastAsia="黑体"/>
          <w:sz w:val="44"/>
          <w:szCs w:val="44"/>
          <w:lang w:val="en-US" w:eastAsia="zh-CN"/>
        </w:rPr>
      </w:pPr>
      <w:r>
        <w:rPr>
          <w:rFonts w:hint="eastAsia"/>
          <w:sz w:val="44"/>
          <w:szCs w:val="44"/>
          <w:lang w:val="en-US" w:eastAsia="zh-CN"/>
        </w:rPr>
        <w:t>建设工程质量检测信息管理平台建设与管理</w:t>
      </w:r>
      <w:r>
        <w:rPr>
          <w:rFonts w:hint="eastAsia"/>
          <w:sz w:val="44"/>
          <w:szCs w:val="44"/>
        </w:rPr>
        <w:t>规</w:t>
      </w:r>
      <w:r>
        <w:rPr>
          <w:rFonts w:hint="eastAsia"/>
          <w:sz w:val="44"/>
          <w:szCs w:val="44"/>
          <w:lang w:val="en-US" w:eastAsia="zh-CN"/>
        </w:rPr>
        <w:t>范</w:t>
      </w:r>
    </w:p>
    <w:p>
      <w:pPr>
        <w:pStyle w:val="17"/>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sz w:val="28"/>
          <w:szCs w:val="28"/>
        </w:rPr>
      </w:pPr>
    </w:p>
    <w:p>
      <w:pPr>
        <w:pStyle w:val="17"/>
        <w:rPr>
          <w:rFonts w:hint="eastAsia" w:ascii="黑体" w:hAnsi="黑体" w:eastAsia="黑体" w:cs="黑体"/>
          <w:sz w:val="28"/>
          <w:szCs w:val="28"/>
          <w:lang w:val="en-US" w:eastAsia="zh-CN"/>
        </w:rPr>
      </w:pPr>
      <w:r>
        <w:rPr>
          <w:rFonts w:hint="eastAsia" w:ascii="黑体" w:hAnsi="黑体" w:eastAsia="黑体" w:cs="黑体"/>
          <w:sz w:val="28"/>
          <w:szCs w:val="28"/>
          <w:lang w:eastAsia="zh-CN"/>
        </w:rPr>
        <w:t>（</w:t>
      </w:r>
      <w:r>
        <w:rPr>
          <w:rFonts w:hint="eastAsia" w:hAnsi="黑体" w:cs="黑体"/>
          <w:sz w:val="28"/>
          <w:szCs w:val="28"/>
          <w:lang w:val="en-US" w:eastAsia="zh-CN"/>
        </w:rPr>
        <w:t>征求意见稿</w:t>
      </w:r>
      <w:r>
        <w:rPr>
          <w:rFonts w:hint="eastAsia" w:ascii="黑体" w:hAnsi="黑体" w:eastAsia="黑体" w:cs="黑体"/>
          <w:sz w:val="28"/>
          <w:szCs w:val="28"/>
          <w:lang w:val="en-US" w:eastAsia="zh-CN"/>
        </w:rPr>
        <w:t>）</w:t>
      </w:r>
    </w:p>
    <w:p>
      <w:pPr>
        <w:pStyle w:val="24"/>
      </w:pPr>
      <w:r>
        <w:rPr>
          <w:rFonts w:hint="eastAsia"/>
        </w:rPr>
        <w:t>xxxx</w:t>
      </w:r>
      <w:r>
        <w:t xml:space="preserve"> - </w:t>
      </w:r>
      <w:r>
        <w:rPr>
          <w:rFonts w:hint="eastAsia"/>
        </w:rPr>
        <w:t>xx</w:t>
      </w:r>
      <w:r>
        <w:t xml:space="preserve">- </w:t>
      </w:r>
      <w:r>
        <w:rPr>
          <w:rFonts w:hint="eastAsia"/>
        </w:rPr>
        <w:t>xx</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O+lZmrrAQAA6gMAAA4AAAAAAAAAAQAgAAAAJQEAAGRycy9lMm9Eb2MueG1sUEsFBgAAAAAGAAYA&#10;WQEAAIIFAAAAAA==&#10;">
                <v:fill on="f" focussize="0,0"/>
                <v:stroke color="#000000" joinstyle="round"/>
                <v:imagedata o:title=""/>
                <o:lock v:ext="edit" aspectratio="f"/>
                <w10:anchorlock/>
              </v:line>
            </w:pict>
          </mc:Fallback>
        </mc:AlternateContent>
      </w:r>
      <w:r>
        <w:rPr>
          <w:rFonts w:hint="eastAsia"/>
        </w:rPr>
        <w:t>发布</w:t>
      </w:r>
    </w:p>
    <w:p>
      <w:pPr>
        <w:pStyle w:val="23"/>
        <w:ind w:right="420"/>
      </w:pPr>
      <w:r>
        <w:rPr>
          <w:rFonts w:hint="eastAsia"/>
        </w:rPr>
        <w:t>xxxx</w:t>
      </w:r>
      <w:r>
        <w:t xml:space="preserve">- </w:t>
      </w:r>
      <w:r>
        <w:rPr>
          <w:rFonts w:hint="eastAsia"/>
        </w:rPr>
        <w:t>xx</w:t>
      </w:r>
      <w:r>
        <w:t>-</w:t>
      </w:r>
      <w:r>
        <w:rPr>
          <w:rFonts w:hint="eastAsia"/>
        </w:rPr>
        <w:t>xx实施</w:t>
      </w:r>
    </w:p>
    <w:p>
      <w:pPr>
        <w:pStyle w:val="26"/>
        <w:rPr>
          <w:rStyle w:val="14"/>
          <w:rFonts w:ascii="Times New Roman"/>
        </w:rPr>
      </w:pPr>
      <w:bookmarkStart w:id="0" w:name="fm"/>
      <w:r>
        <w:rPr>
          <w:rFonts w:ascii="Times New Roman"/>
          <w:shd w:val="clear" w:color="FFFFFF" w:fill="D9D9D9"/>
        </w:rPr>
        <w:fldChar w:fldCharType="begin">
          <w:ffData>
            <w:name w:val="fm"/>
            <w:enabled/>
            <w:calcOnExit w:val="0"/>
            <w:textInput/>
          </w:ffData>
        </w:fldChar>
      </w:r>
      <w:r>
        <w:rPr>
          <w:rFonts w:ascii="Times New Roman"/>
          <w:shd w:val="clear" w:color="FFFFFF" w:fill="D9D9D9"/>
        </w:rPr>
        <w:instrText xml:space="preserve"> FORMTEXT </w:instrText>
      </w:r>
      <w:r>
        <w:rPr>
          <w:rFonts w:ascii="Times New Roman"/>
          <w:shd w:val="clear" w:color="FFFFFF" w:fill="D9D9D9"/>
        </w:rPr>
        <w:fldChar w:fldCharType="separate"/>
      </w:r>
      <w:r>
        <w:rPr>
          <w:rFonts w:hint="eastAsia" w:ascii="Times New Roman"/>
          <w:shd w:val="clear" w:color="FFFFFF" w:fill="D9D9D9"/>
          <w:lang w:val="en-US" w:eastAsia="zh-CN"/>
        </w:rPr>
        <w:t>宝鸡市</w:t>
      </w:r>
      <w:r>
        <w:rPr>
          <w:rFonts w:ascii="Times New Roman"/>
          <w:shd w:val="clear" w:color="FFFFFF" w:fill="D9D9D9"/>
        </w:rPr>
        <w:t>市场监督管理局</w:t>
      </w:r>
      <w:r>
        <w:rPr>
          <w:rFonts w:ascii="Times New Roman"/>
          <w:shd w:val="clear" w:color="FFFFFF" w:fill="D9D9D9"/>
        </w:rPr>
        <w:fldChar w:fldCharType="end"/>
      </w:r>
      <w:bookmarkEnd w:id="0"/>
      <w:r>
        <w:rPr>
          <w:rFonts w:ascii="Times New Roman" w:eastAsia="MS Mincho"/>
          <w:shd w:val="clear" w:color="FFFFFF" w:fill="D9D9D9"/>
        </w:rPr>
        <w:t> </w:t>
      </w:r>
      <w:r>
        <w:rPr>
          <w:rFonts w:ascii="Times New Roman" w:eastAsia="MS Mincho"/>
        </w:rPr>
        <w:t>  </w:t>
      </w:r>
      <w:r>
        <w:rPr>
          <w:rStyle w:val="14"/>
          <w:rFonts w:ascii="Times New Roman"/>
        </w:rPr>
        <w:t>发布</w:t>
      </w:r>
    </w:p>
    <w:p>
      <w:pPr>
        <w:pStyle w:val="26"/>
        <w:rPr>
          <w:rStyle w:val="14"/>
        </w:rPr>
      </w:pPr>
    </w:p>
    <w:p>
      <w:pPr>
        <w:pStyle w:val="26"/>
        <w:rPr>
          <w:rStyle w:val="14"/>
          <w:color w:val="FFFFFF" w:themeColor="background1"/>
          <w:spacing w:val="85"/>
          <w:position w:val="2"/>
          <w:sz w:val="28"/>
          <w14:textFill>
            <w14:solidFill>
              <w14:schemeClr w14:val="bg1"/>
            </w14:solidFill>
          </w14:textFill>
        </w:rPr>
      </w:pPr>
    </w:p>
    <w:p>
      <w:pPr>
        <w:pStyle w:val="26"/>
        <w:rPr>
          <w:rStyle w:val="14"/>
        </w:rPr>
      </w:pPr>
    </w:p>
    <w:p>
      <w:pPr>
        <w:pStyle w:val="26"/>
        <w:rPr>
          <w:rStyle w:val="14"/>
        </w:rPr>
      </w:pPr>
    </w:p>
    <w:p>
      <w:pPr>
        <w:pStyle w:val="26"/>
        <w:rPr>
          <w:rStyle w:val="14"/>
        </w:rPr>
      </w:pPr>
    </w:p>
    <w:p>
      <w:pPr>
        <w:pStyle w:val="26"/>
        <w:rPr>
          <w:rStyle w:val="14"/>
        </w:rPr>
      </w:pPr>
    </w:p>
    <w:p>
      <w:pPr>
        <w:pStyle w:val="26"/>
        <w:rPr>
          <w:rStyle w:val="14"/>
        </w:rPr>
      </w:pPr>
    </w:p>
    <w:p>
      <w:pPr>
        <w:pStyle w:val="26"/>
        <w:rPr>
          <w:rStyle w:val="14"/>
        </w:rPr>
      </w:pPr>
    </w:p>
    <w:p>
      <w:pPr>
        <w:pStyle w:val="26"/>
        <w:rPr>
          <w:rStyle w:val="14"/>
        </w:rPr>
      </w:pPr>
    </w:p>
    <w:p>
      <w:pPr>
        <w:pStyle w:val="26"/>
        <w:rPr>
          <w:rStyle w:val="14"/>
        </w:rPr>
      </w:pPr>
    </w:p>
    <w:p>
      <w:pPr>
        <w:pStyle w:val="26"/>
        <w:rPr>
          <w:rStyle w:val="14"/>
        </w:rPr>
      </w:pPr>
    </w:p>
    <w:p>
      <w:pPr>
        <w:pStyle w:val="26"/>
        <w:rPr>
          <w:rFonts w:ascii="Times New Roman"/>
        </w:rPr>
      </w:pPr>
    </w:p>
    <w:p/>
    <w:p/>
    <w:p/>
    <w:p/>
    <w:p/>
    <w:p>
      <w:pPr>
        <w:rPr>
          <w:u w:val="none"/>
        </w:rPr>
      </w:pPr>
    </w:p>
    <w:p/>
    <w:p/>
    <w:p/>
    <w:p/>
    <w:p/>
    <w:p/>
    <w:p>
      <w:pPr>
        <w:pStyle w:val="30"/>
        <w:rPr>
          <w:rFonts w:hint="eastAsia" w:eastAsia="黑体"/>
          <w:lang w:eastAsia="zh-CN"/>
        </w:rPr>
      </w:pPr>
      <w:bookmarkStart w:id="1" w:name="_Toc3381521"/>
      <w:bookmarkStart w:id="2" w:name="_Toc3381574"/>
      <w:bookmarkStart w:id="3" w:name="_Toc3368348"/>
      <w:bookmarkStart w:id="4" w:name="_Toc3381498"/>
      <w:r>
        <w:rPr>
          <w:rFonts w:hint="eastAsia"/>
          <w:lang w:val="en-US" w:eastAsia="zh-CN"/>
        </w:rPr>
        <w:t>目</w:t>
      </w:r>
      <w:r>
        <w:rPr>
          <w:rFonts w:hAnsi="黑体"/>
        </w:rPr>
        <w:t>  </w:t>
      </w:r>
      <w:r>
        <w:rPr>
          <w:rFonts w:hint="eastAsia"/>
          <w:lang w:val="en-US" w:eastAsia="zh-CN"/>
        </w:rPr>
        <w:t>次</w:t>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i w:val="0"/>
          <w:iCs w:val="0"/>
          <w:caps w:val="0"/>
          <w:color w:val="333333"/>
          <w:spacing w:val="0"/>
          <w:sz w:val="21"/>
          <w:szCs w:val="21"/>
          <w:shd w:val="clear" w:fill="FFFFFF"/>
        </w:rPr>
      </w:pPr>
      <w:bookmarkStart w:id="5" w:name="_Toc5004453"/>
      <w:r>
        <w:rPr>
          <w:rFonts w:hint="eastAsia" w:ascii="宋体" w:hAnsi="宋体" w:eastAsia="宋体" w:cs="宋体"/>
          <w:sz w:val="21"/>
          <w:szCs w:val="21"/>
          <w:lang w:val="en-US" w:eastAsia="zh-CN"/>
        </w:rPr>
        <w:t>前言 ......................................................................</w:t>
      </w:r>
      <w:r>
        <w:rPr>
          <w:rFonts w:hint="eastAsia" w:ascii="宋体" w:hAnsi="宋体" w:eastAsia="宋体" w:cs="宋体"/>
          <w:i w:val="0"/>
          <w:iCs w:val="0"/>
          <w:caps w:val="0"/>
          <w:color w:val="333333"/>
          <w:spacing w:val="0"/>
          <w:sz w:val="21"/>
          <w:szCs w:val="21"/>
          <w:shd w:val="clear" w:fill="FFFFFF"/>
        </w:rPr>
        <w:t>Ⅱ</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fill="FFFFFF"/>
          <w:lang w:val="en-US" w:eastAsia="zh-CN"/>
        </w:rPr>
        <w:t xml:space="preserve">1  </w:t>
      </w:r>
      <w:r>
        <w:rPr>
          <w:rFonts w:hint="eastAsia" w:ascii="宋体" w:hAnsi="宋体" w:cs="宋体"/>
          <w:i w:val="0"/>
          <w:iCs w:val="0"/>
          <w:caps w:val="0"/>
          <w:color w:val="333333"/>
          <w:spacing w:val="0"/>
          <w:sz w:val="21"/>
          <w:szCs w:val="21"/>
          <w:shd w:val="clear" w:fill="FFFFFF"/>
          <w:lang w:val="en-US" w:eastAsia="zh-CN"/>
        </w:rPr>
        <w:t xml:space="preserve">范围 </w:t>
      </w:r>
      <w:r>
        <w:rPr>
          <w:rFonts w:hint="eastAsia" w:ascii="宋体" w:hAnsi="宋体" w:eastAsia="宋体" w:cs="宋体"/>
          <w:sz w:val="21"/>
          <w:szCs w:val="21"/>
          <w:lang w:val="en-US" w:eastAsia="zh-CN"/>
        </w:rPr>
        <w:t>................................................................... 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规范性引用文件</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1</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术语和定义</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基本</w:t>
      </w:r>
      <w:r>
        <w:rPr>
          <w:rFonts w:hint="eastAsia" w:ascii="宋体" w:hAnsi="宋体" w:cs="宋体"/>
          <w:sz w:val="21"/>
          <w:szCs w:val="21"/>
          <w:lang w:val="en-US" w:eastAsia="zh-CN"/>
        </w:rPr>
        <w:t xml:space="preserve">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4.1  </w:t>
      </w:r>
      <w:r>
        <w:rPr>
          <w:rFonts w:hint="eastAsia" w:ascii="宋体" w:hAnsi="宋体" w:cs="宋体"/>
          <w:sz w:val="21"/>
          <w:szCs w:val="21"/>
          <w:lang w:val="en-US" w:eastAsia="zh-CN"/>
        </w:rPr>
        <w:t>管理平台</w:t>
      </w:r>
      <w:r>
        <w:rPr>
          <w:rFonts w:hint="eastAsia" w:ascii="宋体" w:hAnsi="宋体" w:eastAsia="宋体" w:cs="宋体"/>
          <w:sz w:val="21"/>
          <w:szCs w:val="21"/>
          <w:lang w:val="en-US" w:eastAsia="zh-CN"/>
        </w:rPr>
        <w:t>基本</w:t>
      </w:r>
      <w:r>
        <w:rPr>
          <w:rFonts w:hint="eastAsia" w:ascii="宋体" w:hAnsi="宋体" w:cs="宋体"/>
          <w:sz w:val="21"/>
          <w:szCs w:val="21"/>
          <w:lang w:val="en-US" w:eastAsia="zh-CN"/>
        </w:rPr>
        <w:t xml:space="preserve">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4.2  </w:t>
      </w:r>
      <w:r>
        <w:rPr>
          <w:rFonts w:hint="eastAsia" w:ascii="宋体" w:hAnsi="宋体" w:cs="宋体"/>
          <w:sz w:val="21"/>
          <w:szCs w:val="21"/>
          <w:lang w:val="en-US" w:eastAsia="zh-CN"/>
        </w:rPr>
        <w:t xml:space="preserve">管理平台技术要求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4.3  </w:t>
      </w:r>
      <w:r>
        <w:rPr>
          <w:rFonts w:hint="eastAsia" w:ascii="宋体" w:hAnsi="宋体" w:cs="宋体"/>
          <w:sz w:val="21"/>
          <w:szCs w:val="21"/>
          <w:lang w:val="en-US" w:eastAsia="zh-CN"/>
        </w:rPr>
        <w:t xml:space="preserve">联网实施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  </w:t>
      </w:r>
      <w:r>
        <w:rPr>
          <w:rFonts w:hint="eastAsia" w:ascii="宋体" w:hAnsi="宋体" w:cs="宋体"/>
          <w:sz w:val="21"/>
          <w:szCs w:val="21"/>
          <w:lang w:val="en-US" w:eastAsia="zh-CN"/>
        </w:rPr>
        <w:t xml:space="preserve">管理平台组成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5.1  </w:t>
      </w:r>
      <w:r>
        <w:rPr>
          <w:rFonts w:hint="eastAsia" w:ascii="宋体" w:hAnsi="宋体" w:cs="宋体"/>
          <w:sz w:val="21"/>
          <w:szCs w:val="21"/>
          <w:lang w:val="en-US" w:eastAsia="zh-CN"/>
        </w:rPr>
        <w:t xml:space="preserve">基本要求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5.2  </w:t>
      </w:r>
      <w:r>
        <w:rPr>
          <w:rFonts w:hint="eastAsia" w:ascii="宋体" w:hAnsi="宋体" w:cs="宋体"/>
          <w:sz w:val="21"/>
          <w:szCs w:val="21"/>
          <w:lang w:val="en-US" w:eastAsia="zh-CN"/>
        </w:rPr>
        <w:t>管理平台</w:t>
      </w:r>
      <w:r>
        <w:rPr>
          <w:rFonts w:hint="eastAsia" w:ascii="宋体" w:hAnsi="宋体" w:eastAsia="宋体" w:cs="宋体"/>
          <w:sz w:val="21"/>
          <w:szCs w:val="21"/>
          <w:lang w:val="en-US" w:eastAsia="zh-CN"/>
        </w:rPr>
        <w:t>组成</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5.3  </w:t>
      </w:r>
      <w:r>
        <w:rPr>
          <w:rFonts w:hint="eastAsia" w:ascii="宋体" w:hAnsi="宋体" w:cs="宋体"/>
          <w:sz w:val="21"/>
          <w:szCs w:val="21"/>
          <w:lang w:val="en-US" w:eastAsia="zh-CN"/>
        </w:rPr>
        <w:t xml:space="preserve">管理平台运行要求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  检测</w:t>
      </w:r>
      <w:r>
        <w:rPr>
          <w:rFonts w:hint="eastAsia" w:ascii="宋体" w:hAnsi="宋体" w:cs="宋体"/>
          <w:sz w:val="21"/>
          <w:szCs w:val="21"/>
          <w:lang w:val="en-US" w:eastAsia="zh-CN"/>
        </w:rPr>
        <w:t>机构</w:t>
      </w:r>
      <w:r>
        <w:rPr>
          <w:rFonts w:hint="eastAsia" w:ascii="宋体" w:hAnsi="宋体" w:eastAsia="宋体" w:cs="宋体"/>
          <w:sz w:val="21"/>
          <w:szCs w:val="21"/>
          <w:lang w:val="en-US" w:eastAsia="zh-CN"/>
        </w:rPr>
        <w:t>管理软件</w:t>
      </w:r>
      <w:r>
        <w:rPr>
          <w:rFonts w:hint="eastAsia" w:ascii="宋体" w:hAnsi="宋体" w:cs="宋体"/>
          <w:sz w:val="21"/>
          <w:szCs w:val="21"/>
          <w:lang w:val="en-US" w:eastAsia="zh-CN"/>
        </w:rPr>
        <w:t xml:space="preserve">运行要求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5.5  </w:t>
      </w:r>
      <w:r>
        <w:rPr>
          <w:rFonts w:hint="eastAsia" w:ascii="宋体" w:hAnsi="宋体" w:cs="宋体"/>
          <w:sz w:val="21"/>
          <w:szCs w:val="21"/>
          <w:lang w:val="en-US" w:eastAsia="zh-CN"/>
        </w:rPr>
        <w:t>管理平台</w:t>
      </w:r>
      <w:r>
        <w:rPr>
          <w:rFonts w:hint="eastAsia" w:ascii="宋体" w:hAnsi="宋体" w:eastAsia="宋体" w:cs="宋体"/>
          <w:sz w:val="21"/>
          <w:szCs w:val="21"/>
          <w:lang w:val="en-US" w:eastAsia="zh-CN"/>
        </w:rPr>
        <w:t>容错</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5.6  </w:t>
      </w:r>
      <w:r>
        <w:rPr>
          <w:rFonts w:hint="eastAsia" w:ascii="宋体" w:hAnsi="宋体" w:cs="宋体"/>
          <w:sz w:val="21"/>
          <w:szCs w:val="21"/>
          <w:lang w:val="en-US" w:eastAsia="zh-CN"/>
        </w:rPr>
        <w:t>管理平台验证维护</w:t>
      </w:r>
      <w:r>
        <w:rPr>
          <w:rFonts w:hint="eastAsia" w:ascii="宋体" w:hAnsi="宋体" w:eastAsia="宋体" w:cs="宋体"/>
          <w:sz w:val="21"/>
          <w:szCs w:val="21"/>
          <w:lang w:val="en-US" w:eastAsia="zh-CN"/>
        </w:rPr>
        <w:t>要求</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数据采集</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6.1  </w:t>
      </w:r>
      <w:r>
        <w:rPr>
          <w:rFonts w:hint="eastAsia" w:ascii="宋体" w:hAnsi="宋体" w:cs="宋体"/>
          <w:sz w:val="21"/>
          <w:szCs w:val="21"/>
          <w:lang w:val="en-US" w:eastAsia="zh-CN"/>
        </w:rPr>
        <w:t xml:space="preserve">基本要求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6.2  压力、拉力试验机数据自动采集系统</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管理平台数据上传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 xml:space="preserve">7  </w:t>
      </w:r>
      <w:r>
        <w:rPr>
          <w:rFonts w:hint="eastAsia" w:ascii="宋体" w:hAnsi="宋体" w:cs="宋体"/>
          <w:sz w:val="21"/>
          <w:szCs w:val="21"/>
          <w:lang w:val="en-US" w:eastAsia="zh-CN"/>
        </w:rPr>
        <w:t xml:space="preserve">人员验证管理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见证取样送检样品全过程管理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8  安全管理</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8</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Ansi="宋体" w:eastAsia="宋体" w:cs="宋体"/>
          <w:lang w:val="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档案</w:t>
      </w:r>
      <w:r>
        <w:rPr>
          <w:rFonts w:hint="eastAsia" w:ascii="宋体" w:hAnsi="宋体" w:eastAsia="宋体" w:cs="宋体"/>
          <w:sz w:val="21"/>
          <w:szCs w:val="21"/>
          <w:lang w:val="en-US" w:eastAsia="zh-CN"/>
        </w:rPr>
        <w:t>管理</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9</w:t>
      </w:r>
      <w:bookmarkEnd w:id="5"/>
    </w:p>
    <w:p>
      <w:pPr>
        <w:pStyle w:val="30"/>
      </w:pPr>
      <w:r>
        <w:rPr>
          <w:rFonts w:hint="eastAsia"/>
        </w:rPr>
        <w:t>前</w:t>
      </w:r>
      <w:r>
        <w:rPr>
          <w:rFonts w:hAnsi="黑体"/>
        </w:rPr>
        <w:t>  </w:t>
      </w:r>
      <w:r>
        <w:rPr>
          <w:rFonts w:hint="eastAsia"/>
        </w:rPr>
        <w:t>言</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本文件按照GB/T 1.1—2020《标准化工作导则 第1部分：标准化文件的结构和起草规则》的规定起草。</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本文件由宝鸡市住房和城乡建设局提出</w:t>
      </w:r>
      <w:r>
        <w:rPr>
          <w:rFonts w:hint="eastAsia" w:ascii="宋体" w:hAnsi="宋体" w:cs="宋体"/>
          <w:sz w:val="21"/>
          <w:szCs w:val="21"/>
          <w:lang w:val="en-US" w:eastAsia="zh-CN"/>
        </w:rPr>
        <w:t>并</w:t>
      </w:r>
      <w:r>
        <w:rPr>
          <w:rFonts w:hint="eastAsia" w:ascii="宋体" w:hAnsi="宋体" w:eastAsia="宋体" w:cs="宋体"/>
          <w:sz w:val="21"/>
          <w:szCs w:val="21"/>
          <w:lang w:val="en-US" w:eastAsia="zh-CN"/>
        </w:rPr>
        <w:t xml:space="preserve">归口。 </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本文件起草单位：宝鸡市建设工程质量安全监督站、宝鸡城辉工程检测集团有限公司。  </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本文件主要起草人：王文涛、杜炯、赵红涛。 </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本文件由宝鸡市建设工程质量安全监督站</w:t>
      </w:r>
      <w:r>
        <w:rPr>
          <w:rFonts w:hint="eastAsia" w:ascii="宋体" w:hAnsi="宋体" w:cs="宋体"/>
          <w:sz w:val="21"/>
          <w:szCs w:val="21"/>
          <w:lang w:val="en-US" w:eastAsia="zh-CN"/>
        </w:rPr>
        <w:t>负责解释</w:t>
      </w:r>
      <w:r>
        <w:rPr>
          <w:rFonts w:hint="eastAsia" w:ascii="宋体" w:hAnsi="宋体" w:eastAsia="宋体" w:cs="宋体"/>
          <w:sz w:val="21"/>
          <w:szCs w:val="21"/>
          <w:lang w:val="en-US" w:eastAsia="zh-CN"/>
        </w:rPr>
        <w:t xml:space="preserve">。 </w:t>
      </w:r>
    </w:p>
    <w:p>
      <w:pPr>
        <w:ind w:firstLine="420" w:firstLineChars="200"/>
        <w:rPr>
          <w:rFonts w:hint="eastAsia" w:hAnsi="宋体" w:eastAsia="宋体" w:cs="宋体"/>
        </w:rPr>
      </w:pPr>
      <w:r>
        <w:rPr>
          <w:rFonts w:hint="eastAsia" w:ascii="宋体" w:hAnsi="宋体" w:eastAsia="宋体" w:cs="宋体"/>
          <w:sz w:val="21"/>
          <w:szCs w:val="21"/>
          <w:lang w:val="en-US" w:eastAsia="zh-CN"/>
        </w:rPr>
        <w:t>本文件为首次发布。</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联系信息</w:t>
      </w:r>
      <w:r>
        <w:rPr>
          <w:rFonts w:hint="eastAsia" w:ascii="宋体" w:hAnsi="宋体" w:cs="宋体"/>
          <w:sz w:val="21"/>
          <w:szCs w:val="21"/>
          <w:lang w:val="en-US" w:eastAsia="zh-CN"/>
        </w:rPr>
        <w:t>如下</w:t>
      </w:r>
      <w:r>
        <w:rPr>
          <w:rFonts w:hint="eastAsia" w:ascii="宋体" w:hAnsi="宋体" w:eastAsia="宋体" w:cs="宋体"/>
          <w:sz w:val="21"/>
          <w:szCs w:val="21"/>
          <w:lang w:val="en-US" w:eastAsia="zh-CN"/>
        </w:rPr>
        <w:t>：</w:t>
      </w:r>
    </w:p>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单位：宝鸡市建设工程质量安全监督站</w:t>
      </w:r>
    </w:p>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地址：宝鸡市金台区大庆路41号院</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电话：0917—3262553   </w:t>
      </w:r>
    </w:p>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邮编：721000</w:t>
      </w: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29"/>
        <w:ind w:left="0" w:leftChars="0" w:firstLine="0" w:firstLineChars="0"/>
        <w:rPr>
          <w:rFonts w:hAnsi="宋体" w:eastAsia="宋体" w:cs="宋体"/>
          <w:lang w:val="zh-CN"/>
        </w:rPr>
      </w:pPr>
    </w:p>
    <w:p>
      <w:pPr>
        <w:pStyle w:val="38"/>
        <w:shd w:val="clear" w:color="auto" w:fill="FFFFFF"/>
        <w:rPr>
          <w:rFonts w:hint="eastAsia" w:ascii="Times New Roman"/>
          <w:sz w:val="28"/>
          <w:szCs w:val="28"/>
          <w:lang w:val="en-US" w:eastAsia="zh-CN"/>
        </w:rPr>
        <w:sectPr>
          <w:pgSz w:w="11906" w:h="16838"/>
          <w:pgMar w:top="1440" w:right="1800" w:bottom="1440" w:left="1800" w:header="851" w:footer="992" w:gutter="0"/>
          <w:pgNumType w:fmt="decimal" w:start="1"/>
          <w:cols w:space="425" w:num="1"/>
          <w:docGrid w:type="lines" w:linePitch="312" w:charSpace="0"/>
        </w:sectPr>
      </w:pPr>
    </w:p>
    <w:p>
      <w:pPr>
        <w:pStyle w:val="38"/>
        <w:shd w:val="clear" w:color="auto" w:fill="FFFFFF"/>
        <w:rPr>
          <w:rFonts w:hint="eastAsia" w:ascii="Times New Roman" w:eastAsia="黑体"/>
          <w:sz w:val="28"/>
          <w:szCs w:val="28"/>
          <w:lang w:eastAsia="zh-CN"/>
        </w:rPr>
      </w:pPr>
      <w:r>
        <w:rPr>
          <w:rFonts w:hint="eastAsia" w:ascii="Times New Roman"/>
          <w:sz w:val="28"/>
          <w:szCs w:val="28"/>
          <w:lang w:val="en-US" w:eastAsia="zh-CN"/>
        </w:rPr>
        <w:t>建设工程质量检测信息管理平台建设与管理</w:t>
      </w:r>
      <w:r>
        <w:rPr>
          <w:rFonts w:hint="eastAsia" w:ascii="Times New Roman"/>
          <w:sz w:val="28"/>
          <w:szCs w:val="28"/>
        </w:rPr>
        <w:t>规</w:t>
      </w:r>
      <w:r>
        <w:rPr>
          <w:rFonts w:hint="eastAsia" w:ascii="Times New Roman"/>
          <w:sz w:val="28"/>
          <w:szCs w:val="28"/>
          <w:lang w:val="en-US" w:eastAsia="zh-CN"/>
        </w:rPr>
        <w:t>范</w:t>
      </w:r>
      <w:bookmarkStart w:id="6" w:name="_GoBack"/>
      <w:bookmarkEnd w:id="6"/>
    </w:p>
    <w:p>
      <w:pPr>
        <w:pStyle w:val="32"/>
        <w:numPr>
          <w:ilvl w:val="0"/>
          <w:numId w:val="1"/>
        </w:numPr>
        <w:spacing w:before="312" w:after="312"/>
        <w:ind w:left="0" w:leftChars="0" w:firstLine="0" w:firstLineChars="0"/>
        <w:rPr>
          <w:rFonts w:ascii="Times New Roman"/>
          <w:color w:val="000000"/>
          <w:szCs w:val="21"/>
        </w:rPr>
      </w:pPr>
      <w:r>
        <w:rPr>
          <w:rFonts w:hint="eastAsia" w:ascii="Times New Roman"/>
          <w:color w:val="000000"/>
          <w:szCs w:val="21"/>
          <w:lang w:val="en-US" w:eastAsia="zh-CN"/>
        </w:rPr>
        <w:t>范围</w:t>
      </w:r>
    </w:p>
    <w:p>
      <w:pPr>
        <w:pStyle w:val="29"/>
        <w:spacing w:line="360" w:lineRule="auto"/>
        <w:rPr>
          <w:rFonts w:hint="eastAsia" w:ascii="宋体"/>
          <w:lang w:val="en-US" w:eastAsia="zh-CN"/>
        </w:rPr>
      </w:pPr>
      <w:r>
        <w:rPr>
          <w:rFonts w:hint="eastAsia" w:ascii="宋体"/>
          <w:lang w:val="en-US" w:eastAsia="zh-CN"/>
        </w:rPr>
        <w:t>本规范适用于宝鸡市范围内建设工程质量检测信息</w:t>
      </w:r>
      <w:r>
        <w:rPr>
          <w:rFonts w:hint="eastAsia"/>
          <w:lang w:val="en-US" w:eastAsia="zh-CN"/>
        </w:rPr>
        <w:t>管理平台</w:t>
      </w:r>
      <w:r>
        <w:rPr>
          <w:rFonts w:hint="eastAsia" w:ascii="宋体"/>
          <w:lang w:val="en-US" w:eastAsia="zh-CN"/>
        </w:rPr>
        <w:t>的建立、接入与运行等</w:t>
      </w:r>
      <w:r>
        <w:rPr>
          <w:rFonts w:hint="eastAsia"/>
          <w:lang w:val="en-US" w:eastAsia="zh-CN"/>
        </w:rPr>
        <w:t>管理</w:t>
      </w:r>
      <w:r>
        <w:rPr>
          <w:rFonts w:hint="eastAsia" w:ascii="宋体"/>
          <w:lang w:val="en-US" w:eastAsia="zh-CN"/>
        </w:rPr>
        <w:t>活动。凡在宝鸡市范围内从事建设工程质量检测活动的检测机构，均应执行本规范。</w:t>
      </w:r>
    </w:p>
    <w:p>
      <w:pPr>
        <w:pStyle w:val="32"/>
        <w:numPr>
          <w:ilvl w:val="0"/>
          <w:numId w:val="1"/>
        </w:numPr>
        <w:spacing w:before="312" w:after="312"/>
        <w:ind w:left="0" w:leftChars="0" w:firstLine="0" w:firstLineChars="0"/>
        <w:rPr>
          <w:rFonts w:ascii="Times New Roman"/>
          <w:color w:val="000000"/>
          <w:szCs w:val="21"/>
        </w:rPr>
      </w:pPr>
      <w:r>
        <w:rPr>
          <w:rFonts w:ascii="Times New Roman"/>
          <w:color w:val="000000"/>
          <w:szCs w:val="21"/>
        </w:rPr>
        <w:t>规范性引用文件</w:t>
      </w:r>
    </w:p>
    <w:p>
      <w:pPr>
        <w:pStyle w:val="29"/>
        <w:spacing w:line="360" w:lineRule="auto"/>
        <w:rPr>
          <w:rFonts w:hint="eastAsia" w:eastAsiaTheme="minorEastAsia"/>
          <w:lang w:val="en-US" w:eastAsia="zh-CN"/>
        </w:rPr>
      </w:pPr>
      <w:r>
        <w:rPr>
          <w:rFonts w:hint="eastAsia"/>
        </w:rPr>
        <w:t>下列文件的内容通过文中的规范性引用而构成本文件必不可少条款。其中，注日期的引用文件，仅该日期对应的版本适用于本</w:t>
      </w:r>
      <w:r>
        <w:rPr>
          <w:rFonts w:hint="eastAsia"/>
          <w:color w:val="auto"/>
        </w:rPr>
        <w:t>文</w:t>
      </w:r>
      <w:r>
        <w:rPr>
          <w:rFonts w:hint="eastAsia"/>
          <w:color w:val="auto"/>
          <w:lang w:val="en-US" w:eastAsia="zh-CN"/>
        </w:rPr>
        <w:t>件</w:t>
      </w:r>
      <w:r>
        <w:rPr>
          <w:rFonts w:hint="eastAsia"/>
        </w:rPr>
        <w:t>；不注日期的引用文件，其最新版本（包括所有修改单）适用于本文件。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GB</w:t>
      </w:r>
      <w:r>
        <w:rPr>
          <w:rFonts w:hint="eastAsia" w:ascii="宋体" w:hAnsi="宋体" w:eastAsia="宋体" w:cs="宋体"/>
          <w:lang w:val="en-US" w:eastAsia="zh-CN"/>
        </w:rPr>
        <w:t>/T</w:t>
      </w:r>
      <w:r>
        <w:rPr>
          <w:rFonts w:hint="eastAsia" w:ascii="宋体" w:hAnsi="宋体" w:eastAsia="宋体" w:cs="宋体"/>
        </w:rPr>
        <w:t xml:space="preserve"> </w:t>
      </w:r>
      <w:r>
        <w:rPr>
          <w:rFonts w:hint="eastAsia" w:ascii="宋体" w:hAnsi="宋体" w:eastAsia="宋体" w:cs="宋体"/>
          <w:lang w:val="en-US" w:eastAsia="zh-CN"/>
        </w:rPr>
        <w:t>27025</w:t>
      </w:r>
      <w:r>
        <w:rPr>
          <w:rFonts w:hint="eastAsia" w:ascii="宋体" w:hAnsi="宋体" w:eastAsia="宋体" w:cs="宋体"/>
        </w:rPr>
        <w:t xml:space="preserve"> </w:t>
      </w:r>
      <w:r>
        <w:rPr>
          <w:rFonts w:hint="eastAsia" w:ascii="宋体" w:hAnsi="宋体" w:eastAsia="宋体" w:cs="宋体"/>
          <w:lang w:eastAsia="zh-CN"/>
        </w:rPr>
        <w:t>检测</w:t>
      </w:r>
      <w:r>
        <w:rPr>
          <w:rFonts w:hint="eastAsia" w:ascii="宋体" w:hAnsi="宋体" w:eastAsia="宋体" w:cs="宋体"/>
          <w:lang w:val="en-US" w:eastAsia="zh-CN"/>
        </w:rPr>
        <w:t>和校准实验室能力的</w:t>
      </w:r>
      <w:r>
        <w:rPr>
          <w:rFonts w:hint="eastAsia" w:ascii="宋体" w:hAnsi="宋体" w:eastAsia="宋体" w:cs="宋体"/>
          <w:lang w:eastAsia="zh-CN"/>
        </w:rPr>
        <w:t>通用要求</w:t>
      </w:r>
    </w:p>
    <w:p>
      <w:pPr>
        <w:pStyle w:val="32"/>
        <w:numPr>
          <w:ilvl w:val="0"/>
          <w:numId w:val="1"/>
        </w:numPr>
        <w:spacing w:before="312" w:after="312"/>
        <w:ind w:left="0" w:leftChars="0" w:firstLine="0" w:firstLineChars="0"/>
        <w:rPr>
          <w:rFonts w:ascii="Times New Roman"/>
          <w:color w:val="000000"/>
          <w:szCs w:val="21"/>
        </w:rPr>
      </w:pPr>
      <w:r>
        <w:rPr>
          <w:rFonts w:ascii="Times New Roman"/>
          <w:color w:val="000000"/>
          <w:szCs w:val="21"/>
        </w:rPr>
        <w:t>术语和定义</w:t>
      </w:r>
    </w:p>
    <w:p>
      <w:pPr>
        <w:pStyle w:val="32"/>
        <w:numPr>
          <w:ilvl w:val="255"/>
          <w:numId w:val="0"/>
        </w:numPr>
        <w:spacing w:before="312" w:after="312"/>
        <w:ind w:firstLine="420" w:firstLineChars="200"/>
        <w:rPr>
          <w:rFonts w:ascii="宋体" w:hAnsiTheme="minorHAnsi" w:eastAsiaTheme="minorEastAsia" w:cstheme="minorBidi"/>
          <w:kern w:val="2"/>
          <w:szCs w:val="22"/>
        </w:rPr>
      </w:pPr>
      <w:r>
        <w:rPr>
          <w:rFonts w:hint="eastAsia" w:ascii="宋体" w:hAnsiTheme="minorHAnsi" w:eastAsiaTheme="minorEastAsia" w:cstheme="minorBidi"/>
          <w:kern w:val="2"/>
          <w:szCs w:val="22"/>
        </w:rPr>
        <w:t>下列术语和定义适用于本文件。</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pPr>
      <w:r>
        <w:rPr>
          <w:rFonts w:hint="eastAsia" w:ascii="黑体" w:hAnsi="黑体" w:eastAsia="黑体" w:cs="黑体"/>
          <w:b w:val="0"/>
          <w:bCs w:val="0"/>
          <w:spacing w:val="11"/>
          <w:sz w:val="21"/>
          <w:szCs w:val="21"/>
        </w:rPr>
        <w:t>建设工程质量检测信息</w:t>
      </w:r>
      <w:r>
        <w:rPr>
          <w:rFonts w:hint="eastAsia" w:hAnsi="黑体" w:cs="黑体"/>
          <w:b w:val="0"/>
          <w:bCs w:val="0"/>
          <w:spacing w:val="11"/>
          <w:sz w:val="21"/>
          <w:szCs w:val="21"/>
          <w:lang w:val="en-US" w:eastAsia="zh-CN"/>
        </w:rPr>
        <w:t>管理平台</w:t>
      </w:r>
      <w:r>
        <w:rPr>
          <w:rFonts w:hint="eastAsia" w:ascii="黑体" w:hAnsi="黑体" w:eastAsia="黑体" w:cs="黑体"/>
          <w:b w:val="0"/>
          <w:bCs w:val="0"/>
          <w:spacing w:val="11"/>
          <w:sz w:val="21"/>
          <w:szCs w:val="21"/>
        </w:rPr>
        <w:t>（以下简称</w:t>
      </w:r>
      <w:r>
        <w:rPr>
          <w:rFonts w:hint="eastAsia" w:hAnsi="黑体" w:cs="黑体"/>
          <w:b w:val="0"/>
          <w:bCs w:val="0"/>
          <w:spacing w:val="11"/>
          <w:sz w:val="21"/>
          <w:szCs w:val="21"/>
          <w:lang w:val="en-US" w:eastAsia="zh-CN"/>
        </w:rPr>
        <w:t>管理平台</w:t>
      </w:r>
      <w:r>
        <w:rPr>
          <w:rFonts w:hint="eastAsia" w:ascii="黑体" w:hAnsi="黑体" w:eastAsia="黑体" w:cs="黑体"/>
          <w:b w:val="0"/>
          <w:bCs w:val="0"/>
          <w:spacing w:val="11"/>
          <w:sz w:val="21"/>
          <w:szCs w:val="21"/>
        </w:rPr>
        <w:t>）</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pPr>
      <w:r>
        <w:rPr>
          <w:rFonts w:hint="eastAsia" w:ascii="宋体" w:hAnsi="宋体" w:eastAsia="宋体" w:cs="宋体"/>
          <w:kern w:val="2"/>
          <w:sz w:val="21"/>
          <w:szCs w:val="21"/>
          <w:lang w:val="en-US" w:eastAsia="zh-CN" w:bidi="ar-SA"/>
        </w:rPr>
        <w:t>利用计算机技术、网络通讯技术等信息化手段，对建设工程质量检测机构在建设工程质量检测活动中产生的数据、信息进行采集、存储、计算、分析、 传输与监督管理的系统。</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sz w:val="21"/>
          <w:szCs w:val="21"/>
        </w:rPr>
      </w:pPr>
      <w:r>
        <w:rPr>
          <w:rFonts w:hint="eastAsia" w:ascii="黑体" w:hAnsi="黑体" w:eastAsia="黑体" w:cs="黑体"/>
          <w:b w:val="0"/>
          <w:bCs w:val="0"/>
          <w:kern w:val="2"/>
          <w:sz w:val="21"/>
          <w:szCs w:val="21"/>
          <w:lang w:val="en-US" w:eastAsia="zh-CN" w:bidi="ar-SA"/>
        </w:rPr>
        <w:t>建设工程质量检测</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建设工程质量检测机构按照相关规定的要求，采用试验、测试等技术手段确定建设工程的建筑材料、工程实体质量特性的活动。</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pPr>
      <w:r>
        <w:rPr>
          <w:rFonts w:hint="eastAsia" w:ascii="黑体" w:hAnsi="黑体" w:eastAsia="黑体" w:cs="黑体"/>
          <w:b w:val="0"/>
          <w:bCs w:val="0"/>
          <w:kern w:val="2"/>
          <w:sz w:val="21"/>
          <w:szCs w:val="21"/>
          <w:lang w:val="en-US" w:eastAsia="zh-CN" w:bidi="ar-SA"/>
        </w:rPr>
        <w:t>建设工程质量检测机构</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pPr>
      <w:r>
        <w:rPr>
          <w:rFonts w:hint="eastAsia" w:ascii="宋体" w:hAnsi="宋体" w:eastAsia="宋体" w:cs="宋体"/>
          <w:sz w:val="21"/>
          <w:szCs w:val="21"/>
          <w:lang w:val="en-US" w:eastAsia="zh-CN"/>
        </w:rPr>
        <w:t>取得相应建设工程质量检测资质，对建设工程出具质量检测数据或检测结论的机构。</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sz w:val="21"/>
          <w:szCs w:val="21"/>
          <w:lang w:val="en-US" w:eastAsia="zh-CN"/>
        </w:rPr>
      </w:pPr>
      <w:r>
        <w:rPr>
          <w:rFonts w:hint="eastAsia" w:ascii="黑体" w:hAnsi="黑体" w:eastAsia="黑体" w:cs="黑体"/>
          <w:b w:val="0"/>
          <w:bCs w:val="0"/>
          <w:kern w:val="2"/>
          <w:sz w:val="21"/>
          <w:szCs w:val="21"/>
          <w:lang w:val="en-US" w:eastAsia="zh-CN" w:bidi="ar-SA"/>
        </w:rPr>
        <w:t>工程项目</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pPr>
      <w:r>
        <w:rPr>
          <w:rFonts w:hint="eastAsia" w:ascii="宋体" w:hAnsi="宋体" w:eastAsia="宋体" w:cs="宋体"/>
          <w:sz w:val="21"/>
          <w:szCs w:val="21"/>
          <w:lang w:val="en-US" w:eastAsia="zh-CN"/>
        </w:rPr>
        <w:t>每个监管或试验检测项目，与监管或者委托合同一一对应，是监管或者委托合同流程的后续流程，用来上传及监管审批方案，并与数据集进行关联。</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sz w:val="21"/>
          <w:szCs w:val="21"/>
        </w:rPr>
      </w:pPr>
      <w:r>
        <w:rPr>
          <w:rFonts w:hint="eastAsia" w:ascii="黑体" w:hAnsi="黑体" w:eastAsia="黑体" w:cs="黑体"/>
          <w:b w:val="0"/>
          <w:bCs w:val="0"/>
          <w:kern w:val="2"/>
          <w:sz w:val="21"/>
          <w:szCs w:val="21"/>
          <w:lang w:val="en-US" w:eastAsia="zh-CN" w:bidi="ar-SA"/>
        </w:rPr>
        <w:t>见证人员</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具备相关检测专业知识，受建设单位或监理单位委派，对检测试件的取样、制作、送检及现场工程实体检测过程真实性、规范性见证的技术人员。</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pPr>
      <w:r>
        <w:rPr>
          <w:rFonts w:hint="eastAsia" w:ascii="黑体" w:hAnsi="黑体" w:eastAsia="黑体" w:cs="黑体"/>
          <w:b w:val="0"/>
          <w:bCs w:val="0"/>
          <w:kern w:val="2"/>
          <w:sz w:val="21"/>
          <w:szCs w:val="21"/>
          <w:lang w:val="en-US" w:eastAsia="zh-CN" w:bidi="ar-SA"/>
        </w:rPr>
        <w:t>见证取样</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pPr>
      <w:r>
        <w:rPr>
          <w:rFonts w:hint="eastAsia" w:ascii="宋体" w:hAnsi="宋体" w:eastAsia="宋体" w:cs="宋体"/>
          <w:sz w:val="21"/>
          <w:szCs w:val="21"/>
          <w:lang w:val="en-US" w:eastAsia="zh-CN"/>
        </w:rPr>
        <w:t>在见证人员见证下，由取样单位的取样人员，对工程中涉及结构安全的试块、试件和建筑材料在现场取样、制作，并送至有资质的检测单位进行检测的活动。</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sz w:val="21"/>
          <w:szCs w:val="21"/>
          <w:lang w:val="en-US" w:eastAsia="zh-CN"/>
        </w:rPr>
      </w:pPr>
      <w:r>
        <w:rPr>
          <w:rFonts w:hint="eastAsia" w:ascii="黑体" w:hAnsi="黑体" w:eastAsia="黑体" w:cs="黑体"/>
          <w:b w:val="0"/>
          <w:bCs w:val="0"/>
          <w:kern w:val="2"/>
          <w:sz w:val="21"/>
          <w:szCs w:val="21"/>
          <w:lang w:val="en-US" w:eastAsia="zh-CN" w:bidi="ar-SA"/>
        </w:rPr>
        <w:t>自动采集</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pPr>
      <w:r>
        <w:rPr>
          <w:rFonts w:hint="eastAsia" w:ascii="宋体" w:hAnsi="宋体" w:eastAsia="宋体" w:cs="宋体"/>
          <w:sz w:val="21"/>
          <w:szCs w:val="21"/>
          <w:lang w:val="en-US" w:eastAsia="zh-CN"/>
        </w:rPr>
        <w:t>通过自动数据采集设备实时对检测数据进行采集并以电子信息方式保存的行为。</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sz w:val="21"/>
          <w:szCs w:val="21"/>
        </w:rPr>
      </w:pPr>
      <w:r>
        <w:rPr>
          <w:rFonts w:hint="eastAsia" w:ascii="黑体" w:hAnsi="黑体" w:eastAsia="黑体" w:cs="黑体"/>
          <w:b w:val="0"/>
          <w:bCs w:val="0"/>
          <w:kern w:val="2"/>
          <w:sz w:val="21"/>
          <w:szCs w:val="21"/>
          <w:lang w:val="en-US" w:eastAsia="zh-CN" w:bidi="ar-SA"/>
        </w:rPr>
        <w:t>非自动采集</w:t>
      </w:r>
    </w:p>
    <w:p>
      <w:pPr>
        <w:pStyle w:val="31"/>
        <w:keepNext w:val="0"/>
        <w:keepLines w:val="0"/>
        <w:pageBreakBefore w:val="0"/>
        <w:numPr>
          <w:ilvl w:val="0"/>
          <w:numId w:val="0"/>
        </w:numPr>
        <w:kinsoku/>
        <w:wordWrap/>
        <w:overflowPunct/>
        <w:topLinePunct w:val="0"/>
        <w:autoSpaceDE/>
        <w:autoSpaceDN/>
        <w:bidi w:val="0"/>
        <w:adjustRightInd/>
        <w:snapToGrid/>
        <w:spacing w:before="156" w:after="156"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通过检测管理软件手工录入检测数据并以电子信息方式保存的行为。</w:t>
      </w:r>
    </w:p>
    <w:p>
      <w:pPr>
        <w:pStyle w:val="32"/>
        <w:numPr>
          <w:ilvl w:val="0"/>
          <w:numId w:val="1"/>
        </w:numPr>
        <w:spacing w:before="312" w:after="312"/>
        <w:ind w:left="0" w:leftChars="0" w:firstLine="0" w:firstLineChars="0"/>
        <w:outlineLvl w:val="3"/>
        <w:rPr>
          <w:rFonts w:hint="eastAsia" w:ascii="Times New Roman"/>
          <w:color w:val="000000"/>
        </w:rPr>
      </w:pPr>
      <w:r>
        <w:rPr>
          <w:rFonts w:hint="eastAsia" w:ascii="黑体" w:hAnsi="黑体" w:eastAsia="黑体" w:cs="黑体"/>
          <w:b w:val="0"/>
          <w:bCs w:val="0"/>
          <w:kern w:val="2"/>
          <w:sz w:val="21"/>
          <w:szCs w:val="21"/>
          <w:lang w:val="en-US" w:eastAsia="zh-CN" w:bidi="ar-SA"/>
        </w:rPr>
        <w:t>基本</w:t>
      </w:r>
      <w:r>
        <w:rPr>
          <w:rFonts w:hint="eastAsia" w:hAnsi="黑体" w:cs="黑体"/>
          <w:b w:val="0"/>
          <w:bCs w:val="0"/>
          <w:kern w:val="2"/>
          <w:sz w:val="21"/>
          <w:szCs w:val="21"/>
          <w:lang w:val="en-US" w:eastAsia="zh-CN" w:bidi="ar-SA"/>
        </w:rPr>
        <w:t>要求</w:t>
      </w:r>
    </w:p>
    <w:p>
      <w:pPr>
        <w:pStyle w:val="31"/>
        <w:numPr>
          <w:ilvl w:val="1"/>
          <w:numId w:val="1"/>
        </w:numPr>
        <w:spacing w:before="156" w:after="156"/>
        <w:ind w:left="0" w:leftChars="0" w:firstLine="0" w:firstLineChars="0"/>
        <w:outlineLvl w:val="3"/>
        <w:rPr>
          <w:rFonts w:hint="eastAsia" w:ascii="Times New Roman"/>
          <w:color w:val="000000"/>
        </w:rPr>
      </w:pPr>
      <w:r>
        <w:rPr>
          <w:rFonts w:hint="eastAsia" w:hAnsi="黑体" w:cs="黑体"/>
          <w:b w:val="0"/>
          <w:bCs w:val="0"/>
          <w:sz w:val="21"/>
          <w:szCs w:val="21"/>
          <w:lang w:val="en-US" w:eastAsia="zh-CN"/>
        </w:rPr>
        <w:t>管理平台</w:t>
      </w:r>
      <w:r>
        <w:rPr>
          <w:rFonts w:hint="eastAsia" w:ascii="黑体" w:hAnsi="黑体" w:eastAsia="黑体" w:cs="黑体"/>
          <w:b w:val="0"/>
          <w:bCs w:val="0"/>
          <w:sz w:val="21"/>
          <w:szCs w:val="21"/>
          <w:lang w:val="en-US" w:eastAsia="zh-CN"/>
        </w:rPr>
        <w:t>基本</w:t>
      </w:r>
      <w:r>
        <w:rPr>
          <w:rFonts w:hint="eastAsia" w:hAnsi="黑体" w:cs="黑体"/>
          <w:b w:val="0"/>
          <w:bCs w:val="0"/>
          <w:sz w:val="21"/>
          <w:szCs w:val="21"/>
          <w:lang w:val="en-US" w:eastAsia="zh-CN"/>
        </w:rPr>
        <w:t>要求</w:t>
      </w:r>
    </w:p>
    <w:p>
      <w:pPr>
        <w:numPr>
          <w:ilvl w:val="2"/>
          <w:numId w:val="1"/>
        </w:numPr>
        <w:spacing w:line="360" w:lineRule="auto"/>
        <w:ind w:left="284" w:leftChars="0" w:firstLine="0" w:firstLineChars="0"/>
        <w:outlineLvl w:val="3"/>
        <w:rPr>
          <w:rFonts w:hint="eastAsia" w:ascii="宋体" w:hAnsi="宋体" w:cs="宋体"/>
          <w:sz w:val="21"/>
          <w:szCs w:val="21"/>
          <w:lang w:val="en-US" w:eastAsia="zh-CN"/>
        </w:rPr>
      </w:pPr>
      <w:r>
        <w:rPr>
          <w:rFonts w:hint="eastAsia" w:ascii="宋体" w:hAnsi="宋体" w:cs="宋体"/>
          <w:sz w:val="21"/>
          <w:szCs w:val="21"/>
          <w:lang w:val="en-US" w:eastAsia="zh-CN"/>
        </w:rPr>
        <w:t xml:space="preserve">管理平台功能应能满足国家、行业、地方工程建设和主管部门对建设工程试验检测工作的相关规定。 </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sz w:val="21"/>
          <w:szCs w:val="21"/>
          <w:lang w:val="en-US" w:eastAsia="zh-CN"/>
        </w:rPr>
        <w:t>管理平台</w:t>
      </w:r>
      <w:r>
        <w:rPr>
          <w:rFonts w:hint="eastAsia" w:ascii="宋体" w:hAnsi="宋体" w:eastAsia="宋体" w:cs="宋体"/>
          <w:sz w:val="21"/>
          <w:szCs w:val="21"/>
          <w:lang w:val="en-US" w:eastAsia="zh-CN"/>
        </w:rPr>
        <w:t>运行所选择的操作系统、局域网络系统和互联网络系统应安全、稳定和可靠，并具备支持常规数据查询的专业数据库。</w:t>
      </w:r>
    </w:p>
    <w:p>
      <w:pPr>
        <w:numPr>
          <w:ilvl w:val="2"/>
          <w:numId w:val="1"/>
        </w:numPr>
        <w:spacing w:line="360" w:lineRule="auto"/>
        <w:ind w:left="284" w:leftChars="0" w:firstLine="0" w:firstLineChars="0"/>
        <w:outlineLvl w:val="3"/>
        <w:rPr>
          <w:rFonts w:hint="eastAsia" w:ascii="黑体" w:hAnsi="黑体" w:eastAsia="黑体" w:cs="黑体"/>
          <w:szCs w:val="21"/>
        </w:rPr>
      </w:pPr>
      <w:r>
        <w:rPr>
          <w:rFonts w:hint="eastAsia" w:ascii="宋体" w:hAnsi="宋体" w:cs="宋体"/>
          <w:sz w:val="21"/>
          <w:szCs w:val="21"/>
          <w:lang w:val="en-US" w:eastAsia="zh-CN"/>
        </w:rPr>
        <w:t>管理平台</w:t>
      </w:r>
      <w:r>
        <w:rPr>
          <w:rFonts w:hint="eastAsia" w:ascii="宋体" w:hAnsi="宋体" w:eastAsia="宋体" w:cs="宋体"/>
          <w:sz w:val="21"/>
          <w:szCs w:val="21"/>
          <w:lang w:val="en-US" w:eastAsia="zh-CN"/>
        </w:rPr>
        <w:t>各模块之间应实现数据共享，互联互通， 内在逻辑关系清楚。</w:t>
      </w:r>
    </w:p>
    <w:p>
      <w:pPr>
        <w:numPr>
          <w:ilvl w:val="2"/>
          <w:numId w:val="1"/>
        </w:numPr>
        <w:spacing w:line="360" w:lineRule="auto"/>
        <w:ind w:left="284" w:leftChars="0" w:firstLine="0" w:firstLineChars="0"/>
        <w:outlineLvl w:val="3"/>
        <w:rPr>
          <w:rFonts w:hint="eastAsia" w:ascii="宋体" w:hAnsi="宋体" w:cs="宋体"/>
          <w:sz w:val="21"/>
          <w:szCs w:val="21"/>
          <w:lang w:val="en-US" w:eastAsia="zh-CN"/>
        </w:rPr>
      </w:pPr>
      <w:r>
        <w:rPr>
          <w:rFonts w:hint="eastAsia" w:ascii="宋体" w:hAnsi="宋体" w:cs="宋体"/>
          <w:sz w:val="21"/>
          <w:szCs w:val="21"/>
          <w:lang w:val="en-US" w:eastAsia="zh-CN"/>
        </w:rPr>
        <w:t>建设工程检验检测机构宜根据自身规模、业务性质和管理模式等，建立或应用实用、 可靠、高效的检验检测信息管理系统。</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sz w:val="21"/>
          <w:szCs w:val="21"/>
          <w:lang w:val="en-US" w:eastAsia="zh-CN"/>
        </w:rPr>
        <w:t>管理平台应具备检测业务受理、检测数据采集、检测信息上传、检测报告出具、检测档案管理等活动进行信息化管理，保证建设工程质量检测活动全过程可追溯等功能。</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能监控到各检测机构检测数据和过程数据信息，具备层级监控信息适时有效传输、接收全过程检测数据及相关信息、查看检测过程曲线功能。</w:t>
      </w:r>
    </w:p>
    <w:p>
      <w:pPr>
        <w:numPr>
          <w:ilvl w:val="2"/>
          <w:numId w:val="1"/>
        </w:numPr>
        <w:spacing w:line="360" w:lineRule="auto"/>
        <w:ind w:left="284" w:leftChars="0" w:firstLine="0" w:firstLineChars="0"/>
        <w:outlineLvl w:val="3"/>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管理平台应能保证试验检测原始数据在上传后不被篡改、遗漏，应保证所有信息的输入、修改、删除以及异常情况处理过程均留有痕迹可以查询。</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具备对钢筋（含钢筋焊接及钢筋机械连接）、混凝土、水泥、砂浆试件的力值检测项目检测过程进行数据回放及追溯功能。</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具备生成各检测机构相关业务报表的功能，并以主流形式导出报表。</w:t>
      </w:r>
    </w:p>
    <w:p>
      <w:pPr>
        <w:numPr>
          <w:ilvl w:val="2"/>
          <w:numId w:val="1"/>
        </w:numPr>
        <w:spacing w:line="360" w:lineRule="auto"/>
        <w:ind w:left="284" w:leftChars="0" w:firstLine="0" w:firstLineChars="0"/>
        <w:outlineLvl w:val="3"/>
        <w:rPr>
          <w:rFonts w:hint="eastAsia" w:ascii="宋体" w:hAnsi="宋体" w:eastAsia="宋体" w:cs="宋体"/>
          <w:sz w:val="21"/>
          <w:szCs w:val="21"/>
        </w:rPr>
      </w:pPr>
      <w:r>
        <w:rPr>
          <w:rFonts w:hint="eastAsia" w:ascii="宋体" w:hAnsi="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 xml:space="preserve">具备试验过程异常数据提示警示功能，数据传输过程具备用户不可干预性。 </w:t>
      </w:r>
    </w:p>
    <w:p>
      <w:pPr>
        <w:keepNext w:val="0"/>
        <w:keepLines w:val="0"/>
        <w:pageBreakBefore w:val="0"/>
        <w:numPr>
          <w:ilvl w:val="2"/>
          <w:numId w:val="1"/>
        </w:numPr>
        <w:kinsoku/>
        <w:wordWrap/>
        <w:overflowPunct/>
        <w:topLinePunct w:val="0"/>
        <w:autoSpaceDE/>
        <w:autoSpaceDN/>
        <w:bidi w:val="0"/>
        <w:adjustRightInd/>
        <w:snapToGrid/>
        <w:spacing w:line="360" w:lineRule="auto"/>
        <w:ind w:left="284" w:leftChars="0" w:firstLine="0" w:firstLineChars="0"/>
        <w:textAlignment w:val="auto"/>
        <w:outlineLvl w:val="3"/>
        <w:rPr>
          <w:rFonts w:hint="eastAsia" w:ascii="Times New Roman"/>
          <w:b w:val="0"/>
          <w:bCs w:val="0"/>
          <w:color w:val="000000"/>
          <w:sz w:val="21"/>
          <w:szCs w:val="21"/>
        </w:rPr>
      </w:pPr>
      <w:r>
        <w:rPr>
          <w:rFonts w:hint="eastAsia" w:ascii="宋体" w:hAnsi="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能对检测机构资质、人员资格进行验证，对检测机构超出资质范围承揽业务、人员资格超越项目范围等行为进行提示和警示。</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Times New Roman"/>
          <w:color w:val="000000"/>
        </w:rPr>
      </w:pPr>
      <w:r>
        <w:rPr>
          <w:rFonts w:hint="eastAsia" w:ascii="Times New Roman"/>
          <w:color w:val="000000"/>
          <w:lang w:val="en-US" w:eastAsia="zh-CN"/>
        </w:rPr>
        <w:t>管理平台技术要求</w:t>
      </w:r>
    </w:p>
    <w:p>
      <w:pPr>
        <w:pStyle w:val="31"/>
        <w:keepNext w:val="0"/>
        <w:keepLines w:val="0"/>
        <w:pageBreakBefore w:val="0"/>
        <w:widowControl/>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ascii="宋体" w:hAnsi="宋体" w:eastAsia="宋体" w:cs="宋体"/>
          <w:color w:val="000000"/>
        </w:rPr>
      </w:pPr>
      <w:r>
        <w:rPr>
          <w:rFonts w:hint="eastAsia" w:ascii="宋体" w:hAnsi="宋体" w:eastAsia="宋体" w:cs="宋体"/>
          <w:color w:val="000000"/>
          <w:lang w:val="en-US" w:eastAsia="zh-CN"/>
        </w:rPr>
        <w:t>检测机构试验室视频监控要求</w:t>
      </w:r>
    </w:p>
    <w:p>
      <w:pPr>
        <w:pStyle w:val="31"/>
        <w:keepNext w:val="0"/>
        <w:keepLines w:val="0"/>
        <w:pageBreakBefore w:val="0"/>
        <w:widowControl/>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力学试验室设置360度球机摄像头，200万及以上像素，安装位置应确保摄像机能够覆盖试验室内所有力学试验机试验活动。</w:t>
      </w:r>
    </w:p>
    <w:p>
      <w:pPr>
        <w:pStyle w:val="31"/>
        <w:keepNext w:val="0"/>
        <w:keepLines w:val="0"/>
        <w:pageBreakBefore w:val="0"/>
        <w:widowControl/>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其它试验室设置枪式摄像机，200万及以上像素，安装位置应确保摄像机能够覆盖试验室内全部试验范围。</w:t>
      </w:r>
    </w:p>
    <w:p>
      <w:pPr>
        <w:pStyle w:val="31"/>
        <w:keepNext w:val="0"/>
        <w:keepLines w:val="0"/>
        <w:pageBreakBefore w:val="0"/>
        <w:widowControl/>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视频监控数据保存应不少于3个月；视频监控网络应单独配置，采用不低于50M光纤宽带，确保视频实时查看及回放流畅。</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检测机构报告信息管理</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应通过对检测报告关键信息进行提取加密，使用防伪二维码等技术，结合信息化管理平台及专用二维码验证程序，实现检测报告防伪和溯源。</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检测过程数据及报告应按样品的委托信息、委托项目、委托参数、试验检测原始数据、自动采集(采集时间、采集曲线、采集过程视频、采集开始照片、采集破型照片)、通过平台验证报告上自动生成二维码加密防伪标识、数据修改记录(修改时间、修改人、修改前值、修改后值、修改原因)自动上传、现场检测(检测登记信息、检测原始数据、检测过程送键点视频和照片、检测定位信息、检测二维码防伪报告)管理。</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检测机构人员、检测仪器设备、检测资质的管理及上传。</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黑体" w:hAnsi="黑体" w:eastAsia="黑体" w:cs="黑体"/>
          <w:color w:val="000000"/>
        </w:rPr>
      </w:pPr>
      <w:r>
        <w:rPr>
          <w:rFonts w:hint="eastAsia" w:ascii="黑体" w:hAnsi="黑体" w:eastAsia="黑体" w:cs="黑体"/>
          <w:color w:val="000000"/>
          <w:lang w:val="en-US" w:eastAsia="zh-CN"/>
        </w:rPr>
        <w:t>联网实施</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ascii="宋体" w:hAnsi="宋体" w:eastAsia="宋体" w:cs="宋体"/>
          <w:color w:val="000000"/>
        </w:rPr>
      </w:pPr>
      <w:r>
        <w:rPr>
          <w:rFonts w:hint="eastAsia" w:ascii="宋体" w:hAnsi="宋体" w:eastAsia="宋体" w:cs="宋体"/>
          <w:kern w:val="2"/>
          <w:sz w:val="21"/>
          <w:szCs w:val="21"/>
          <w:lang w:val="en-US" w:eastAsia="zh-CN" w:bidi="ar-SA"/>
        </w:rPr>
        <w:t>在宝鸡市行政区域内从事建设工程质量检测的机构均应按照本规范的要求将检测数据上传至所在建设工程测信息管理平台数据库。</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rPr>
      </w:pPr>
      <w:r>
        <w:rPr>
          <w:rFonts w:hint="eastAsia" w:ascii="宋体" w:hAnsi="宋体" w:eastAsia="宋体" w:cs="宋体"/>
          <w:kern w:val="2"/>
          <w:sz w:val="21"/>
          <w:szCs w:val="21"/>
          <w:lang w:val="en-US" w:eastAsia="zh-CN" w:bidi="ar-SA"/>
        </w:rPr>
        <w:t>检测机构应确保检测管理软件有效运行及互联网络的畅通，并按要求及时、准确、完整地进行检测数据信息上传。</w:t>
      </w:r>
    </w:p>
    <w:p>
      <w:pPr>
        <w:pStyle w:val="32"/>
        <w:numPr>
          <w:ilvl w:val="0"/>
          <w:numId w:val="1"/>
        </w:numPr>
        <w:spacing w:before="312" w:after="312" w:line="360" w:lineRule="auto"/>
        <w:ind w:left="0" w:leftChars="0" w:firstLine="0" w:firstLineChars="0"/>
        <w:rPr>
          <w:b/>
        </w:rPr>
      </w:pPr>
      <w:r>
        <w:rPr>
          <w:rFonts w:hint="eastAsia" w:ascii="Times New Roman"/>
          <w:color w:val="000000"/>
          <w:szCs w:val="21"/>
          <w:lang w:val="en-US" w:eastAsia="zh-CN"/>
        </w:rPr>
        <w:t>管理平台组成</w:t>
      </w:r>
    </w:p>
    <w:p>
      <w:pPr>
        <w:pStyle w:val="31"/>
        <w:keepNext w:val="0"/>
        <w:keepLines w:val="0"/>
        <w:pageBreakBefore w:val="0"/>
        <w:widowControl/>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ascii="Times New Roman"/>
        </w:rPr>
      </w:pPr>
      <w:r>
        <w:rPr>
          <w:rFonts w:hint="eastAsia" w:hAnsi="黑体" w:cs="黑体"/>
          <w:b w:val="0"/>
          <w:bCs w:val="0"/>
          <w:kern w:val="2"/>
          <w:sz w:val="21"/>
          <w:szCs w:val="21"/>
          <w:lang w:val="en-US" w:eastAsia="zh-CN" w:bidi="ar-SA"/>
        </w:rPr>
        <w:t>基本要求</w:t>
      </w:r>
    </w:p>
    <w:p>
      <w:pPr>
        <w:pStyle w:val="31"/>
        <w:keepNext w:val="0"/>
        <w:keepLines w:val="0"/>
        <w:pageBreakBefore w:val="0"/>
        <w:widowControl/>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rPr>
          <w:rFonts w:ascii="Times New Roman"/>
        </w:rPr>
      </w:pPr>
      <w:r>
        <w:rPr>
          <w:rFonts w:hint="eastAsia" w:ascii="宋体" w:hAnsi="宋体" w:eastAsia="宋体" w:cs="宋体"/>
          <w:sz w:val="21"/>
          <w:szCs w:val="21"/>
          <w:lang w:val="en-US" w:eastAsia="zh-CN"/>
        </w:rPr>
        <w:t>管理平台功能按管理权限分为市本级和检测机构两级。区域检测数据交换平台数据库设立在宝鸡市建设工程质量安全监督站。并为省级监管系统留有接口。</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ascii="Times New Roman"/>
          <w:color w:val="000000" w:themeColor="text1"/>
          <w14:textFill>
            <w14:solidFill>
              <w14:schemeClr w14:val="tx1"/>
            </w14:solidFill>
          </w14:textFill>
        </w:rPr>
      </w:pPr>
      <w:r>
        <w:rPr>
          <w:rFonts w:hint="eastAsia" w:hAnsi="黑体" w:cs="黑体"/>
          <w:b w:val="0"/>
          <w:bCs w:val="0"/>
          <w:kern w:val="2"/>
          <w:sz w:val="21"/>
          <w:szCs w:val="21"/>
          <w:lang w:val="en-US" w:eastAsia="zh-CN" w:bidi="ar-SA"/>
        </w:rPr>
        <w:t>管理平台</w:t>
      </w:r>
      <w:r>
        <w:rPr>
          <w:rFonts w:hint="eastAsia" w:ascii="黑体" w:hAnsi="黑体" w:eastAsia="黑体" w:cs="黑体"/>
          <w:b w:val="0"/>
          <w:bCs w:val="0"/>
          <w:kern w:val="2"/>
          <w:sz w:val="21"/>
          <w:szCs w:val="21"/>
          <w:lang w:val="en-US" w:eastAsia="zh-CN" w:bidi="ar-SA"/>
        </w:rPr>
        <w:t>组成</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黑体" w:hAnsi="黑体" w:eastAsia="黑体" w:cs="黑体"/>
          <w:b w:val="0"/>
          <w:bCs w:val="0"/>
          <w:spacing w:val="11"/>
          <w:sz w:val="21"/>
          <w:szCs w:val="21"/>
        </w:rPr>
      </w:pPr>
      <w:r>
        <w:rPr>
          <w:rFonts w:hint="eastAsia" w:ascii="宋体" w:hAnsi="宋体" w:eastAsia="宋体" w:cs="宋体"/>
          <w:sz w:val="21"/>
          <w:szCs w:val="21"/>
          <w:lang w:val="en-US" w:eastAsia="zh-CN"/>
        </w:rPr>
        <w:t>管理平台由检测监管软件、检测管理软件、移动端三部分组成。（如下图所示）</w:t>
      </w:r>
    </w:p>
    <w:p>
      <w:pPr>
        <w:pStyle w:val="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val="0"/>
          <w:bCs w:val="0"/>
          <w:spacing w:val="11"/>
          <w:sz w:val="21"/>
          <w:szCs w:val="21"/>
        </w:rPr>
      </w:pPr>
      <w:r>
        <w:rPr>
          <w:rFonts w:hint="eastAsia" w:ascii="黑体" w:hAnsi="黑体" w:eastAsia="黑体" w:cs="黑体"/>
          <w:b w:val="0"/>
          <w:bCs w:val="0"/>
          <w:spacing w:val="11"/>
          <w:sz w:val="21"/>
          <w:szCs w:val="21"/>
        </w:rPr>
        <w:t>建设工程质量检测信息</w:t>
      </w:r>
      <w:r>
        <w:rPr>
          <w:rFonts w:hint="eastAsia" w:ascii="黑体" w:hAnsi="黑体" w:eastAsia="黑体" w:cs="黑体"/>
          <w:b w:val="0"/>
          <w:bCs w:val="0"/>
          <w:spacing w:val="11"/>
          <w:sz w:val="21"/>
          <w:szCs w:val="21"/>
          <w:lang w:val="en-US" w:eastAsia="zh-CN"/>
        </w:rPr>
        <w:t>化</w:t>
      </w:r>
      <w:r>
        <w:rPr>
          <w:rFonts w:hint="eastAsia" w:ascii="黑体" w:hAnsi="黑体" w:eastAsia="黑体" w:cs="黑体"/>
          <w:b w:val="0"/>
          <w:bCs w:val="0"/>
          <w:spacing w:val="11"/>
          <w:sz w:val="21"/>
          <w:szCs w:val="21"/>
          <w:lang w:eastAsia="zh-CN"/>
        </w:rPr>
        <w:t>管理平台</w:t>
      </w:r>
    </w:p>
    <w:p>
      <w:pPr>
        <w:pStyle w:val="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val="0"/>
          <w:bCs w:val="0"/>
          <w:spacing w:val="11"/>
          <w:sz w:val="21"/>
          <w:szCs w:val="21"/>
        </w:rPr>
      </w:pPr>
      <w:r>
        <w:drawing>
          <wp:inline distT="0" distB="0" distL="114300" distR="114300">
            <wp:extent cx="5269230" cy="3666490"/>
            <wp:effectExtent l="0" t="0" r="3810" b="635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5"/>
                    <a:stretch>
                      <a:fillRect/>
                    </a:stretch>
                  </pic:blipFill>
                  <pic:spPr>
                    <a:xfrm>
                      <a:off x="0" y="0"/>
                      <a:ext cx="5269230" cy="3666490"/>
                    </a:xfrm>
                    <a:prstGeom prst="rect">
                      <a:avLst/>
                    </a:prstGeom>
                    <a:noFill/>
                    <a:ln w="9525">
                      <a:noFill/>
                    </a:ln>
                  </pic:spPr>
                </pic:pic>
              </a:graphicData>
            </a:graphic>
          </wp:inline>
        </w:drawing>
      </w:r>
    </w:p>
    <w:p>
      <w:pPr>
        <w:pStyle w:val="29"/>
        <w:keepNext w:val="0"/>
        <w:keepLines w:val="0"/>
        <w:pageBreakBefore w:val="0"/>
        <w:kinsoku/>
        <w:wordWrap/>
        <w:overflowPunct/>
        <w:topLinePunct w:val="0"/>
        <w:bidi w:val="0"/>
        <w:adjustRightInd/>
        <w:snapToGrid/>
        <w:spacing w:line="360" w:lineRule="auto"/>
        <w:textAlignment w:val="auto"/>
      </w:pP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管理平台软件应符合本规范对应用软件的规定。</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黑体" w:hAnsi="黑体" w:eastAsia="黑体" w:cs="黑体"/>
          <w:b w:val="0"/>
          <w:bCs w:val="0"/>
          <w:color w:val="000000"/>
          <w:sz w:val="21"/>
          <w:szCs w:val="21"/>
        </w:rPr>
      </w:pPr>
      <w:r>
        <w:rPr>
          <w:rFonts w:hint="eastAsia" w:hAnsi="黑体" w:cs="黑体"/>
          <w:b w:val="0"/>
          <w:bCs w:val="0"/>
          <w:sz w:val="21"/>
          <w:szCs w:val="21"/>
          <w:lang w:val="en-US" w:eastAsia="zh-CN"/>
        </w:rPr>
        <w:t>管理平台运行要求</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建设工程质量检测信息管理平台具备检测报告防伪和溯源功能。</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建设工程质量检测信息管理平台具备检测过程信息化管理功能，并满足下列要求。</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送检样品信息、人员信息、取样地理位置信息及照片(二维码防调换封样样品照片、取样人员照片、见证人员照片 ) 实时上传，封样、送检过程与管理平台信息互联互通；</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室内常规试验报告与现场检测过程管理；</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力学试验数据采集管控、采集曲线回放；</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试验室视频监控。</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建设工程质量检测信息管理平台具备检测资质信息化管理功能。</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建设工程质量检测信息管理平台具备信用信息化管理功能。</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建设工程质量检测信息管理平台具备不合格报告闭环管理功能。</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黑体" w:hAnsi="黑体" w:eastAsia="黑体" w:cs="黑体"/>
          <w:b w:val="0"/>
          <w:bCs w:val="0"/>
          <w:kern w:val="2"/>
          <w:sz w:val="21"/>
          <w:szCs w:val="21"/>
          <w:lang w:val="en-US" w:eastAsia="zh-CN" w:bidi="ar-SA"/>
        </w:rPr>
        <w:t>检测</w:t>
      </w:r>
      <w:r>
        <w:rPr>
          <w:rFonts w:hint="eastAsia" w:hAnsi="黑体" w:cs="黑体"/>
          <w:b w:val="0"/>
          <w:bCs w:val="0"/>
          <w:kern w:val="2"/>
          <w:sz w:val="21"/>
          <w:szCs w:val="21"/>
          <w:lang w:val="en-US" w:eastAsia="zh-CN" w:bidi="ar-SA"/>
        </w:rPr>
        <w:t>机构管理</w:t>
      </w:r>
      <w:r>
        <w:rPr>
          <w:rFonts w:hint="eastAsia" w:ascii="黑体" w:hAnsi="黑体" w:eastAsia="黑体" w:cs="黑体"/>
          <w:b w:val="0"/>
          <w:bCs w:val="0"/>
          <w:kern w:val="2"/>
          <w:sz w:val="21"/>
          <w:szCs w:val="21"/>
          <w:lang w:val="en-US" w:eastAsia="zh-CN" w:bidi="ar-SA"/>
        </w:rPr>
        <w:t>软件</w:t>
      </w:r>
      <w:r>
        <w:rPr>
          <w:rFonts w:hint="eastAsia" w:hAnsi="黑体" w:cs="黑体"/>
          <w:b w:val="0"/>
          <w:bCs w:val="0"/>
          <w:kern w:val="2"/>
          <w:sz w:val="21"/>
          <w:szCs w:val="21"/>
          <w:lang w:val="en-US" w:eastAsia="zh-CN" w:bidi="ar-SA"/>
        </w:rPr>
        <w:t>运行要求</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 xml:space="preserve">检测管理软件满足国家、行业、地方工程建设和主管部门对建设工程质量检测工作的相关规定。 </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检测管理软件具备检测业务受理、检测数据采集、检测信息上传、检测报告出具、检测档案管理等功能，保证建设工程质量检测活动全过程可追溯等。</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检测管理软件根据业务情况、人员架构及安全保密要求分级设置管理权限。</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 xml:space="preserve">检测管理软件能保证检测原始数据在上传后不被篡改、遗漏，能保证所有信息的输入、修改、删除以及异常情况处理过程均留有痕迹可以查询。 </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检测管理软件运行环境应符合国家信息安全保密管理的规定。</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检测管理软件具备识别建设工程质量检测信息管理平台样品唯一性标识功能。</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 xml:space="preserve">检测管理软件在数据采集过程应保证数据的原始性和真实性，并满足下列要求。 </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 xml:space="preserve">采用自动采集设备时检测管理软件宜设置数据接口，保证数据全程记录并点对点上传至系统服务器，不得存在中间存储或中转程序； </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b/>
          <w:bCs/>
          <w:kern w:val="2"/>
          <w:sz w:val="21"/>
          <w:szCs w:val="21"/>
          <w:lang w:val="en-US" w:eastAsia="zh-CN" w:bidi="ar-SA"/>
        </w:rPr>
        <w:t xml:space="preserve"> </w:t>
      </w:r>
      <w:r>
        <w:rPr>
          <w:rFonts w:hint="eastAsia" w:ascii="宋体" w:hAnsi="宋体" w:eastAsia="宋体" w:cs="宋体"/>
          <w:sz w:val="21"/>
          <w:szCs w:val="21"/>
          <w:lang w:val="en-US" w:eastAsia="zh-CN"/>
        </w:rPr>
        <w:t>对非自动采集设备，应采用原始记录表格做好数据记录，由具有规定权限的检测人员向系统录入数据。</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检测数据 (委托工程信息、样品信息、原始记录,自动采集曲线、过程影像视频、试验结论信息等) 和检测报告实时自动上传，数据应加密、实时上传至建设工程质量检测信息管理平台。</w:t>
      </w:r>
    </w:p>
    <w:p>
      <w:pPr>
        <w:pStyle w:val="31"/>
        <w:keepNext w:val="0"/>
        <w:keepLines w:val="0"/>
        <w:pageBreakBefore w:val="0"/>
        <w:widowControl/>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hAnsi="黑体" w:cs="黑体"/>
          <w:b w:val="0"/>
          <w:bCs w:val="0"/>
          <w:kern w:val="2"/>
          <w:sz w:val="21"/>
          <w:szCs w:val="21"/>
          <w:lang w:val="en-US" w:eastAsia="zh-CN" w:bidi="ar-SA"/>
        </w:rPr>
        <w:t>管理平台</w:t>
      </w:r>
      <w:r>
        <w:rPr>
          <w:rFonts w:hint="eastAsia" w:ascii="黑体" w:hAnsi="黑体" w:eastAsia="黑体" w:cs="黑体"/>
          <w:b w:val="0"/>
          <w:bCs w:val="0"/>
          <w:kern w:val="2"/>
          <w:sz w:val="21"/>
          <w:szCs w:val="21"/>
          <w:lang w:val="en-US" w:eastAsia="zh-CN" w:bidi="ar-SA"/>
        </w:rPr>
        <w:t>容错</w:t>
      </w:r>
    </w:p>
    <w:p>
      <w:pPr>
        <w:pStyle w:val="31"/>
        <w:keepNext w:val="0"/>
        <w:keepLines w:val="0"/>
        <w:pageBreakBefore w:val="0"/>
        <w:widowControl/>
        <w:numPr>
          <w:ilvl w:val="0"/>
          <w:numId w:val="0"/>
        </w:numPr>
        <w:kinsoku/>
        <w:wordWrap/>
        <w:overflowPunct/>
        <w:topLinePunct w:val="0"/>
        <w:bidi w:val="0"/>
        <w:adjustRightInd/>
        <w:snapToGrid/>
        <w:spacing w:before="156" w:after="156" w:line="360" w:lineRule="auto"/>
        <w:ind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当网络或系统出现故障导致数据错误时，</w:t>
      </w:r>
      <w:r>
        <w:rPr>
          <w:rFonts w:hint="eastAsia" w:hAnsi="宋体" w:eastAsia="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能在故障消除后自动接收数据。已接收的不完整数据在网络恢复后由</w:t>
      </w:r>
      <w:r>
        <w:rPr>
          <w:rFonts w:hint="eastAsia" w:hAnsi="宋体" w:eastAsia="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通知数据发送方重新传输，并覆盖不完全数据。</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宋体" w:hAnsi="宋体" w:eastAsia="宋体" w:cs="宋体"/>
          <w:b w:val="0"/>
          <w:bCs w:val="0"/>
          <w:color w:val="000000"/>
          <w:sz w:val="21"/>
          <w:szCs w:val="21"/>
        </w:rPr>
      </w:pPr>
      <w:r>
        <w:rPr>
          <w:rFonts w:hint="eastAsia" w:hAnsi="黑体" w:cs="黑体"/>
          <w:b w:val="0"/>
          <w:bCs w:val="0"/>
          <w:kern w:val="2"/>
          <w:sz w:val="21"/>
          <w:szCs w:val="21"/>
          <w:lang w:val="en-US" w:eastAsia="zh-CN" w:bidi="ar-SA"/>
        </w:rPr>
        <w:t>管理平台</w:t>
      </w:r>
      <w:r>
        <w:rPr>
          <w:rFonts w:hint="eastAsia" w:ascii="黑体" w:hAnsi="黑体" w:eastAsia="黑体" w:cs="黑体"/>
          <w:b w:val="0"/>
          <w:bCs w:val="0"/>
          <w:kern w:val="2"/>
          <w:sz w:val="21"/>
          <w:szCs w:val="21"/>
          <w:lang w:val="en-US" w:eastAsia="zh-CN" w:bidi="ar-SA"/>
        </w:rPr>
        <w:t>验证维护要求</w:t>
      </w:r>
    </w:p>
    <w:p>
      <w:pPr>
        <w:pStyle w:val="29"/>
        <w:rPr>
          <w:rFonts w:hint="eastAsia" w:ascii="宋体" w:hAnsi="宋体" w:eastAsia="宋体" w:cs="宋体"/>
          <w:b w:val="0"/>
          <w:bCs w:val="0"/>
          <w:color w:val="000000"/>
          <w:sz w:val="21"/>
          <w:szCs w:val="21"/>
        </w:rPr>
      </w:pPr>
      <w:r>
        <w:rPr>
          <w:rFonts w:hint="eastAsia" w:hAnsi="宋体" w:eastAsia="宋体" w:cs="宋体"/>
          <w:kern w:val="2"/>
          <w:sz w:val="21"/>
          <w:szCs w:val="21"/>
          <w:lang w:val="en-US" w:eastAsia="zh-CN" w:bidi="ar-SA"/>
        </w:rPr>
        <w:t>管理平台</w:t>
      </w:r>
      <w:r>
        <w:rPr>
          <w:rFonts w:hint="eastAsia" w:ascii="宋体" w:hAnsi="宋体" w:eastAsia="宋体" w:cs="宋体"/>
          <w:kern w:val="2"/>
          <w:sz w:val="21"/>
          <w:szCs w:val="21"/>
          <w:lang w:val="en-US" w:eastAsia="zh-CN" w:bidi="ar-SA"/>
        </w:rPr>
        <w:t>投入使用后，根据使用要求和技术发展进行必要的维护和更新。</w:t>
      </w:r>
    </w:p>
    <w:p>
      <w:pPr>
        <w:pStyle w:val="32"/>
        <w:numPr>
          <w:ilvl w:val="0"/>
          <w:numId w:val="1"/>
        </w:numPr>
        <w:spacing w:before="312" w:after="312" w:line="360" w:lineRule="auto"/>
        <w:ind w:left="0" w:leftChars="0" w:firstLine="0" w:firstLineChars="0"/>
        <w:rPr>
          <w:rFonts w:hint="eastAsia" w:ascii="Times New Roman"/>
          <w:b w:val="0"/>
          <w:bCs w:val="0"/>
          <w:color w:val="000000"/>
          <w:sz w:val="21"/>
          <w:szCs w:val="21"/>
          <w:lang w:val="en-US" w:eastAsia="zh-CN"/>
        </w:rPr>
      </w:pPr>
      <w:r>
        <w:rPr>
          <w:rFonts w:hint="eastAsia" w:ascii="黑体" w:hAnsi="黑体" w:eastAsia="黑体" w:cs="黑体"/>
          <w:b w:val="0"/>
          <w:bCs w:val="0"/>
          <w:kern w:val="2"/>
          <w:sz w:val="21"/>
          <w:szCs w:val="21"/>
          <w:lang w:val="en-US" w:eastAsia="zh-CN" w:bidi="ar-SA"/>
        </w:rPr>
        <w:t>数据采集</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hAnsi="黑体" w:cs="黑体"/>
          <w:b w:val="0"/>
          <w:bCs w:val="0"/>
          <w:kern w:val="2"/>
          <w:sz w:val="21"/>
          <w:szCs w:val="21"/>
          <w:lang w:val="en-US" w:eastAsia="zh-CN" w:bidi="ar-SA"/>
        </w:rPr>
        <w:t>基本要求</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检测机构使用的自动采集检测设备，满足数据采集、自动控载、数据传输的相关要求。</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数据采集设备采集的数据由检测机构自行保存并实时上传到管理平台指定服务器，检测管理软件拒绝提供二次操作采集数据和修改原始数据功能。</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自动采集的数据应准确，其精度应符合现行标准规范对检测设备精度的要求。</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黑体" w:hAnsi="黑体" w:eastAsia="黑体" w:cs="黑体"/>
          <w:b w:val="0"/>
          <w:bCs w:val="0"/>
          <w:color w:val="000000"/>
          <w:sz w:val="21"/>
          <w:szCs w:val="21"/>
        </w:rPr>
      </w:pPr>
      <w:r>
        <w:rPr>
          <w:rFonts w:hint="eastAsia" w:ascii="黑体" w:hAnsi="黑体" w:eastAsia="黑体" w:cs="黑体"/>
          <w:b w:val="0"/>
          <w:bCs w:val="0"/>
          <w:spacing w:val="-1"/>
          <w:sz w:val="21"/>
          <w:szCs w:val="21"/>
        </w:rPr>
        <w:t>压力、拉力试验机数据自动采集系统</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数据自动采集系统应具有下列功能：</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试验人员工号登录功能。</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显示自动采集数据的数值。</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每项试验应记录原始数据和力值-时间曲线。</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数据自动采集系统应能以数值和力值-时间曲线的形式显示。</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数据自动采集系统应使显示器至少同时显示以下内容：</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试验项目；</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试验时间；</w:t>
      </w:r>
    </w:p>
    <w:p>
      <w:pPr>
        <w:pStyle w:val="31"/>
        <w:keepNext w:val="0"/>
        <w:keepLines w:val="0"/>
        <w:pageBreakBefore w:val="0"/>
        <w:numPr>
          <w:ilvl w:val="3"/>
          <w:numId w:val="1"/>
        </w:numPr>
        <w:kinsoku/>
        <w:wordWrap/>
        <w:overflowPunct/>
        <w:topLinePunct w:val="0"/>
        <w:bidi w:val="0"/>
        <w:adjustRightInd/>
        <w:snapToGrid/>
        <w:spacing w:before="156" w:after="156" w:line="360" w:lineRule="auto"/>
        <w:ind w:left="0" w:leftChars="0" w:firstLine="0" w:firstLineChars="0"/>
        <w:textAlignment w:val="auto"/>
        <w:rPr>
          <w:rFonts w:hint="eastAsia" w:ascii="黑体" w:hAnsi="黑体" w:eastAsia="黑体" w:cs="黑体"/>
          <w:b w:val="0"/>
          <w:bCs w:val="0"/>
          <w:color w:val="000000"/>
          <w:sz w:val="21"/>
          <w:szCs w:val="21"/>
        </w:rPr>
      </w:pPr>
      <w:r>
        <w:rPr>
          <w:rFonts w:hint="eastAsia" w:ascii="宋体" w:hAnsi="宋体" w:eastAsia="宋体" w:cs="宋体"/>
          <w:kern w:val="2"/>
          <w:sz w:val="21"/>
          <w:szCs w:val="21"/>
          <w:lang w:val="en-US" w:eastAsia="zh-CN" w:bidi="ar-SA"/>
        </w:rPr>
        <w:t>加荷速度</w:t>
      </w:r>
    </w:p>
    <w:p>
      <w:pPr>
        <w:pStyle w:val="31"/>
        <w:keepNext w:val="0"/>
        <w:keepLines w:val="0"/>
        <w:pageBreakBefore w:val="0"/>
        <w:widowControl/>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力值数值和力值-时间曲线图。</w:t>
      </w:r>
    </w:p>
    <w:p>
      <w:pPr>
        <w:pStyle w:val="31"/>
        <w:keepNext w:val="0"/>
        <w:keepLines w:val="0"/>
        <w:pageBreakBefore w:val="0"/>
        <w:widowControl/>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检测软件对钢筋屈服强度未能采集准确数据时，应以力值-时间曲线为依据在检测管理软件中人工更正。</w:t>
      </w:r>
    </w:p>
    <w:p>
      <w:pPr>
        <w:pStyle w:val="31"/>
        <w:keepNext w:val="0"/>
        <w:keepLines w:val="0"/>
        <w:pageBreakBefore w:val="0"/>
        <w:widowControl/>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rPr>
          <w:rFonts w:hint="eastAsia" w:ascii="Times New Roman"/>
          <w:b/>
          <w:bCs/>
          <w:color w:val="000000"/>
          <w:sz w:val="21"/>
          <w:szCs w:val="21"/>
          <w:lang w:val="en-US" w:eastAsia="zh-CN"/>
        </w:rPr>
      </w:pPr>
      <w:r>
        <w:rPr>
          <w:rFonts w:hint="eastAsia" w:ascii="宋体" w:hAnsi="宋体" w:eastAsia="宋体" w:cs="宋体"/>
          <w:kern w:val="2"/>
          <w:sz w:val="21"/>
          <w:szCs w:val="21"/>
          <w:lang w:val="en-US" w:eastAsia="zh-CN" w:bidi="ar-SA"/>
        </w:rPr>
        <w:t>当数据采集控制软件进行局部修改或增添功能时，应对其适用性进行测试，并不得违反本规范的规定。</w:t>
      </w:r>
    </w:p>
    <w:p>
      <w:pPr>
        <w:pStyle w:val="31"/>
        <w:keepNext w:val="0"/>
        <w:keepLines w:val="0"/>
        <w:pageBreakBefore w:val="0"/>
        <w:numPr>
          <w:ilvl w:val="1"/>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Times New Roman"/>
          <w:color w:val="000000"/>
        </w:rPr>
      </w:pPr>
      <w:r>
        <w:rPr>
          <w:rFonts w:hint="eastAsia" w:hAnsi="黑体" w:cs="黑体"/>
          <w:b w:val="0"/>
          <w:bCs w:val="0"/>
          <w:kern w:val="2"/>
          <w:sz w:val="21"/>
          <w:szCs w:val="21"/>
          <w:lang w:val="en-US" w:eastAsia="zh-CN" w:bidi="ar-SA"/>
        </w:rPr>
        <w:t>管理平台</w:t>
      </w:r>
      <w:r>
        <w:rPr>
          <w:rFonts w:hint="eastAsia" w:ascii="黑体" w:hAnsi="黑体" w:eastAsia="黑体" w:cs="黑体"/>
          <w:b w:val="0"/>
          <w:bCs w:val="0"/>
          <w:kern w:val="2"/>
          <w:sz w:val="21"/>
          <w:szCs w:val="21"/>
          <w:lang w:val="en-US" w:eastAsia="zh-CN" w:bidi="ar-SA"/>
        </w:rPr>
        <w:t>数据上传</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检测机构为建设工程提供的检测数据通过管理平台进行数据采集、处理、存储、传输。</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检测数据自动上传应包括以下内容：</w:t>
      </w:r>
    </w:p>
    <w:p>
      <w:pPr>
        <w:pStyle w:val="31"/>
        <w:keepNext w:val="0"/>
        <w:keepLines w:val="0"/>
        <w:pageBreakBefore w:val="0"/>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见证取样项目中的钢筋力学性能、混凝土及砂浆立方体抗压强度试验、水泥胶砂强度检验（抗压、抗折强度），同时自动上传检测原始数据及数据自动采集系统中生成的力值-时间曲线；</w:t>
      </w:r>
    </w:p>
    <w:p>
      <w:pPr>
        <w:pStyle w:val="31"/>
        <w:keepNext w:val="0"/>
        <w:keepLines w:val="0"/>
        <w:pageBreakBefore w:val="0"/>
        <w:numPr>
          <w:ilvl w:val="3"/>
          <w:numId w:val="1"/>
        </w:numPr>
        <w:kinsoku/>
        <w:wordWrap/>
        <w:overflowPunct/>
        <w:topLinePunct w:val="0"/>
        <w:autoSpaceDE/>
        <w:autoSpaceDN/>
        <w:bidi w:val="0"/>
        <w:adjustRightInd/>
        <w:snapToGrid/>
        <w:spacing w:before="156" w:after="156" w:line="360" w:lineRule="auto"/>
        <w:ind w:left="0" w:leftChars="0" w:firstLine="0" w:firstLineChars="0"/>
        <w:textAlignment w:val="auto"/>
        <w:outlineLvl w:val="3"/>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其他非自动采集检测项目，自动上传检测原始数据及检测报告。</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检测机构使用的检测管理软件，其生成的检测原始数据及需上报的曲线及信息均按要求生成通用格式。</w:t>
      </w:r>
    </w:p>
    <w:p>
      <w:pPr>
        <w:pStyle w:val="31"/>
        <w:keepNext w:val="0"/>
        <w:keepLines w:val="0"/>
        <w:pageBreakBefore w:val="0"/>
        <w:numPr>
          <w:ilvl w:val="2"/>
          <w:numId w:val="1"/>
        </w:numPr>
        <w:kinsoku/>
        <w:wordWrap/>
        <w:overflowPunct/>
        <w:topLinePunct w:val="0"/>
        <w:autoSpaceDE/>
        <w:autoSpaceDN/>
        <w:bidi w:val="0"/>
        <w:adjustRightInd/>
        <w:snapToGrid/>
        <w:spacing w:before="156" w:after="156" w:line="360" w:lineRule="auto"/>
        <w:ind w:left="284" w:leftChars="0" w:firstLine="0" w:firstLineChars="0"/>
        <w:textAlignment w:val="auto"/>
        <w:outlineLvl w:val="3"/>
        <w:rPr>
          <w:rFonts w:hint="eastAsia"/>
          <w:lang w:val="en-US" w:eastAsia="zh-CN"/>
        </w:rPr>
      </w:pPr>
      <w:r>
        <w:rPr>
          <w:rFonts w:hint="eastAsia" w:ascii="宋体" w:hAnsi="宋体" w:eastAsia="宋体" w:cs="宋体"/>
          <w:kern w:val="2"/>
          <w:sz w:val="21"/>
          <w:szCs w:val="21"/>
          <w:lang w:val="en-US" w:eastAsia="zh-CN" w:bidi="ar-SA"/>
        </w:rPr>
        <w:t>检测机构实现检测原始数据及曲线的实时自动上传。</w:t>
      </w:r>
    </w:p>
    <w:p>
      <w:pPr>
        <w:pStyle w:val="31"/>
        <w:keepNext w:val="0"/>
        <w:keepLines w:val="0"/>
        <w:pageBreakBefore w:val="0"/>
        <w:numPr>
          <w:ilvl w:val="0"/>
          <w:numId w:val="1"/>
        </w:numPr>
        <w:kinsoku/>
        <w:wordWrap/>
        <w:overflowPunct/>
        <w:topLinePunct w:val="0"/>
        <w:bidi w:val="0"/>
        <w:adjustRightInd/>
        <w:snapToGrid/>
        <w:spacing w:before="156" w:after="156" w:line="360" w:lineRule="auto"/>
        <w:ind w:left="0" w:leftChars="0" w:firstLine="0" w:firstLineChars="0"/>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人员验证管理</w:t>
      </w:r>
    </w:p>
    <w:p>
      <w:pPr>
        <w:pStyle w:val="31"/>
        <w:keepNext w:val="0"/>
        <w:keepLines w:val="0"/>
        <w:pageBreakBefore w:val="0"/>
        <w:numPr>
          <w:ilvl w:val="1"/>
          <w:numId w:val="1"/>
        </w:numPr>
        <w:kinsoku/>
        <w:wordWrap/>
        <w:overflowPunct/>
        <w:topLinePunct w:val="0"/>
        <w:bidi w:val="0"/>
        <w:adjustRightInd/>
        <w:snapToGrid/>
        <w:spacing w:before="156" w:after="156" w:line="360" w:lineRule="auto"/>
        <w:ind w:left="0" w:leftChars="0" w:firstLine="0" w:firstLineChars="0"/>
        <w:textAlignment w:val="auto"/>
        <w:rPr>
          <w:rFonts w:hint="eastAsia" w:ascii="黑体" w:hAnsi="黑体" w:eastAsia="黑体" w:cs="黑体"/>
          <w:b w:val="0"/>
          <w:bCs w:val="0"/>
          <w:color w:val="000000"/>
          <w:sz w:val="21"/>
          <w:szCs w:val="21"/>
        </w:rPr>
      </w:pPr>
      <w:r>
        <w:rPr>
          <w:rFonts w:hint="eastAsia" w:ascii="黑体" w:hAnsi="黑体" w:eastAsia="黑体" w:cs="黑体"/>
          <w:kern w:val="2"/>
          <w:sz w:val="21"/>
          <w:szCs w:val="21"/>
          <w:lang w:val="en-US" w:eastAsia="zh-CN" w:bidi="ar-SA"/>
        </w:rPr>
        <w:t>见证取样送检样品全过程管</w:t>
      </w:r>
      <w:r>
        <w:rPr>
          <w:rFonts w:hint="eastAsia" w:hAnsi="黑体" w:cs="黑体"/>
          <w:kern w:val="2"/>
          <w:sz w:val="21"/>
          <w:szCs w:val="21"/>
          <w:lang w:val="en-US" w:eastAsia="zh-CN" w:bidi="ar-SA"/>
        </w:rPr>
        <w:t>理</w:t>
      </w:r>
    </w:p>
    <w:p>
      <w:pPr>
        <w:pStyle w:val="31"/>
        <w:keepNext w:val="0"/>
        <w:keepLines w:val="0"/>
        <w:pageBreakBefore w:val="0"/>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kern w:val="2"/>
          <w:sz w:val="21"/>
          <w:szCs w:val="21"/>
          <w:lang w:val="en-US" w:eastAsia="zh-CN" w:bidi="ar-SA"/>
        </w:rPr>
        <w:t>取样人员、见证人员信息的管理：姓名、性别、身份证号、联系电话、上岗证号、单位名称、免冠照片等基本信息。</w:t>
      </w:r>
    </w:p>
    <w:p>
      <w:pPr>
        <w:pStyle w:val="31"/>
        <w:keepNext w:val="0"/>
        <w:keepLines w:val="0"/>
        <w:pageBreakBefore w:val="0"/>
        <w:widowControl/>
        <w:numPr>
          <w:ilvl w:val="2"/>
          <w:numId w:val="1"/>
        </w:numPr>
        <w:kinsoku/>
        <w:wordWrap/>
        <w:overflowPunct/>
        <w:topLinePunct w:val="0"/>
        <w:bidi w:val="0"/>
        <w:adjustRightInd/>
        <w:snapToGrid/>
        <w:spacing w:before="156" w:after="156" w:line="360" w:lineRule="auto"/>
        <w:ind w:left="284" w:leftChars="0" w:firstLine="0" w:firstLineChars="0"/>
        <w:textAlignment w:val="auto"/>
        <w:rPr>
          <w:rFonts w:hint="eastAsia" w:ascii="Times New Roman"/>
          <w:b w:val="0"/>
          <w:bCs w:val="0"/>
          <w:color w:val="000000"/>
          <w:sz w:val="21"/>
          <w:szCs w:val="21"/>
          <w:lang w:val="en-US" w:eastAsia="zh-CN"/>
        </w:rPr>
      </w:pPr>
      <w:r>
        <w:rPr>
          <w:rFonts w:hint="eastAsia" w:ascii="宋体" w:hAnsi="宋体" w:eastAsia="宋体" w:cs="宋体"/>
          <w:kern w:val="2"/>
          <w:sz w:val="21"/>
          <w:szCs w:val="21"/>
          <w:lang w:val="en-US" w:eastAsia="zh-CN" w:bidi="ar-SA"/>
        </w:rPr>
        <w:t>取样、送样全过程管理：施工单位取样人员进行取样，制样时应使用二维码唯一性标识对样品嵌入、紧锁或粘贴，制样完成后30分钟内，应进行取样管理手机端人脸识别认证通过后，录入样品信息、定位地理位置、样品封样照片、施工单位取样人照片等信息上传平台，实现电子取样送检台账。监理单位见证人员应对施工单位取样制样过程进行监督，并对制样时二维码唯一标识的嵌入、紧锁或粘贴工作进行见证，在施工单位取样人员完成样品信息录入后30分钟内，应进行取样管理手机端人脸识别认证通过后，验证样品见证信息、定位地理位置、样品封样照片、监理单位见证</w:t>
      </w:r>
      <w:r>
        <w:rPr>
          <w:rFonts w:hint="eastAsia" w:ascii="宋体" w:hAnsi="宋体" w:eastAsia="宋体" w:cs="宋体"/>
          <w:spacing w:val="4"/>
          <w:sz w:val="21"/>
          <w:szCs w:val="21"/>
        </w:rPr>
        <w:t>人照片等上传平台，实现电子见证取样台账</w:t>
      </w:r>
      <w:r>
        <w:rPr>
          <w:rFonts w:hint="eastAsia" w:ascii="宋体" w:hAnsi="宋体" w:eastAsia="宋体" w:cs="宋体"/>
          <w:spacing w:val="3"/>
          <w:sz w:val="21"/>
          <w:szCs w:val="21"/>
        </w:rPr>
        <w:t>。检测机构在接</w:t>
      </w:r>
      <w:r>
        <w:rPr>
          <w:rFonts w:hint="eastAsia" w:ascii="宋体" w:hAnsi="宋体" w:eastAsia="宋体" w:cs="宋体"/>
          <w:spacing w:val="4"/>
          <w:sz w:val="21"/>
          <w:szCs w:val="21"/>
        </w:rPr>
        <w:t>收检测样品时，应先仔细核查唯一性标识和样品完整性，再</w:t>
      </w:r>
      <w:r>
        <w:rPr>
          <w:rFonts w:hint="eastAsia" w:ascii="宋体" w:hAnsi="宋体" w:eastAsia="宋体" w:cs="宋体"/>
          <w:spacing w:val="6"/>
          <w:sz w:val="21"/>
          <w:szCs w:val="21"/>
        </w:rPr>
        <w:t>通过扫描枪逐个样品进行验样，对唯一性标识有破损的，扫</w:t>
      </w:r>
      <w:r>
        <w:rPr>
          <w:rFonts w:hint="eastAsia" w:ascii="宋体" w:hAnsi="宋体" w:eastAsia="宋体" w:cs="宋体"/>
          <w:spacing w:val="5"/>
          <w:sz w:val="21"/>
          <w:szCs w:val="21"/>
        </w:rPr>
        <w:t>码获取信息与样品实际信息或委托单信息不一致的，不予收</w:t>
      </w:r>
      <w:r>
        <w:rPr>
          <w:rFonts w:hint="eastAsia" w:ascii="宋体" w:hAnsi="宋体" w:eastAsia="宋体" w:cs="宋体"/>
          <w:spacing w:val="-8"/>
          <w:sz w:val="21"/>
          <w:szCs w:val="21"/>
        </w:rPr>
        <w:t>样。</w:t>
      </w:r>
    </w:p>
    <w:p>
      <w:pPr>
        <w:pStyle w:val="32"/>
        <w:keepNext w:val="0"/>
        <w:keepLines w:val="0"/>
        <w:pageBreakBefore w:val="0"/>
        <w:widowControl/>
        <w:numPr>
          <w:ilvl w:val="0"/>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Times New Roman"/>
          <w:b w:val="0"/>
          <w:bCs w:val="0"/>
          <w:color w:val="000000"/>
          <w:sz w:val="21"/>
          <w:szCs w:val="21"/>
          <w:lang w:val="en-US" w:eastAsia="zh-CN"/>
        </w:rPr>
      </w:pPr>
      <w:r>
        <w:rPr>
          <w:rFonts w:hint="eastAsia" w:ascii="黑体" w:hAnsi="黑体" w:eastAsia="黑体" w:cs="黑体"/>
          <w:b w:val="0"/>
          <w:bCs w:val="0"/>
          <w:kern w:val="2"/>
          <w:sz w:val="21"/>
          <w:szCs w:val="21"/>
          <w:lang w:val="en-US" w:eastAsia="zh-CN" w:bidi="ar-SA"/>
        </w:rPr>
        <w:t>安全管理</w:t>
      </w:r>
    </w:p>
    <w:p>
      <w:pPr>
        <w:pStyle w:val="32"/>
        <w:keepNext w:val="0"/>
        <w:keepLines w:val="0"/>
        <w:pageBreakBefore w:val="0"/>
        <w:widowControl/>
        <w:numPr>
          <w:ilvl w:val="1"/>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网络防火墙应具备以下安全管理功能：</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对进入内部网络的数据包进行扫描过滤；</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对常见的入侵行为进行检测和阻止；</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对所有端口的访问权限进行有效控制和管理，根据规则进行访问限制。</w:t>
      </w:r>
    </w:p>
    <w:p>
      <w:pPr>
        <w:pStyle w:val="32"/>
        <w:keepNext w:val="0"/>
        <w:keepLines w:val="0"/>
        <w:pageBreakBefore w:val="0"/>
        <w:widowControl/>
        <w:numPr>
          <w:ilvl w:val="1"/>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操作系统应设置相应安全策略，强制实现用户口令等安全规则，对相关安全事件应有详细记录。</w:t>
      </w:r>
    </w:p>
    <w:p>
      <w:pPr>
        <w:pStyle w:val="32"/>
        <w:keepNext w:val="0"/>
        <w:keepLines w:val="0"/>
        <w:pageBreakBefore w:val="0"/>
        <w:widowControl/>
        <w:numPr>
          <w:ilvl w:val="1"/>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应用系统应进行以下安全管理：</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用户角色与权限管理应充分利用操作系统的安全管理；</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数据信息应充分利用数据库的安全管理；</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口令应设置安全规则，限制口令长度和修改时间间隔， 并使用加密手段存储。</w:t>
      </w:r>
    </w:p>
    <w:p>
      <w:pPr>
        <w:pStyle w:val="32"/>
        <w:keepNext w:val="0"/>
        <w:keepLines w:val="0"/>
        <w:pageBreakBefore w:val="0"/>
        <w:widowControl/>
        <w:numPr>
          <w:ilvl w:val="1"/>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防病毒软件应具备以下安全管理功能：</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SA"/>
        </w:rPr>
        <w:t>对网络中传输的数据进行实时的监控；</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hAnsi="黑体" w:cs="黑体"/>
          <w:color w:val="000000"/>
          <w:lang w:val="en-US" w:eastAsia="zh-CN"/>
        </w:rPr>
      </w:pPr>
      <w:r>
        <w:rPr>
          <w:rFonts w:hint="eastAsia" w:ascii="宋体" w:hAnsi="宋体" w:eastAsia="宋体" w:cs="宋体"/>
          <w:kern w:val="2"/>
          <w:sz w:val="21"/>
          <w:szCs w:val="21"/>
          <w:lang w:val="en-US" w:eastAsia="zh-CN" w:bidi="ar-SA"/>
        </w:rPr>
        <w:t>对各种类型文件均可进行病毒的查杀，自动进行病毒代码库的更新，对发现的病毒能在全网络范围内进行清除。</w:t>
      </w:r>
    </w:p>
    <w:p>
      <w:pPr>
        <w:pStyle w:val="32"/>
        <w:keepNext w:val="0"/>
        <w:keepLines w:val="0"/>
        <w:pageBreakBefore w:val="0"/>
        <w:widowControl/>
        <w:numPr>
          <w:ilvl w:val="0"/>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hAnsi="黑体" w:cs="黑体"/>
          <w:color w:val="000000"/>
          <w:lang w:val="en-US" w:eastAsia="zh-CN"/>
        </w:rPr>
      </w:pPr>
      <w:r>
        <w:rPr>
          <w:rFonts w:hint="eastAsia" w:hAnsi="黑体" w:cs="黑体"/>
          <w:color w:val="000000"/>
          <w:lang w:val="en-US" w:eastAsia="zh-CN"/>
        </w:rPr>
        <w:t>档案管理</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lang w:val="en-US" w:eastAsia="zh-CN"/>
        </w:rPr>
      </w:pPr>
      <w:r>
        <w:rPr>
          <w:rFonts w:hint="eastAsia" w:ascii="宋体" w:hAnsi="宋体" w:eastAsia="宋体" w:cs="宋体"/>
          <w:color w:val="000000"/>
          <w:lang w:val="en-US" w:eastAsia="zh-CN"/>
        </w:rPr>
        <w:t>检</w:t>
      </w:r>
      <w:r>
        <w:rPr>
          <w:rFonts w:hint="eastAsia" w:ascii="宋体" w:hAnsi="宋体" w:eastAsia="宋体" w:cs="宋体"/>
          <w:lang w:val="en-US" w:eastAsia="zh-CN"/>
        </w:rPr>
        <w:t>测报告应当真实规范，并不仅限于如下档案资料：</w:t>
      </w:r>
    </w:p>
    <w:p>
      <w:pPr>
        <w:pStyle w:val="32"/>
        <w:keepNext w:val="0"/>
        <w:keepLines w:val="0"/>
        <w:pageBreakBefore w:val="0"/>
        <w:widowControl/>
        <w:numPr>
          <w:ilvl w:val="3"/>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hAnsi="黑体" w:cs="黑体"/>
          <w:color w:val="000000"/>
          <w:lang w:val="en-US" w:eastAsia="zh-CN"/>
        </w:rPr>
      </w:pPr>
      <w:r>
        <w:rPr>
          <w:rFonts w:hint="eastAsia" w:ascii="宋体" w:hAnsi="宋体" w:eastAsia="宋体" w:cs="宋体"/>
          <w:lang w:val="en-US" w:eastAsia="zh-CN"/>
        </w:rPr>
        <w:t>委托单；</w:t>
      </w:r>
    </w:p>
    <w:p>
      <w:pPr>
        <w:pStyle w:val="32"/>
        <w:keepNext w:val="0"/>
        <w:keepLines w:val="0"/>
        <w:pageBreakBefore w:val="0"/>
        <w:widowControl/>
        <w:numPr>
          <w:ilvl w:val="3"/>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见证资料；</w:t>
      </w:r>
    </w:p>
    <w:p>
      <w:pPr>
        <w:pStyle w:val="32"/>
        <w:keepNext w:val="0"/>
        <w:keepLines w:val="0"/>
        <w:pageBreakBefore w:val="0"/>
        <w:widowControl/>
        <w:numPr>
          <w:ilvl w:val="3"/>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经检测人员、审核人员、检测机构法定代表人或者其授权签字人签署，检测数据自动采集并与管理平台联网的检测报告可使用电子签名，有注册专业工程师要求的专项检测报告，必要时需加盖执业印章，加盖检测专用章，多页检测报告加盖骑缝章；并具有</w:t>
      </w:r>
      <w:r>
        <w:rPr>
          <w:rFonts w:hint="eastAsia" w:ascii="宋体" w:hAnsi="宋体" w:eastAsia="宋体" w:cs="宋体"/>
          <w:lang w:val="en-US" w:eastAsia="zh-CN"/>
        </w:rPr>
        <w:t>二维码查询功能，核查检测报告真伪</w:t>
      </w:r>
      <w:r>
        <w:rPr>
          <w:rFonts w:hint="eastAsia" w:ascii="宋体" w:hAnsi="宋体" w:eastAsia="宋体" w:cs="宋体"/>
          <w:color w:val="auto"/>
          <w:sz w:val="21"/>
          <w:szCs w:val="21"/>
          <w:lang w:val="en-US" w:eastAsia="zh-CN"/>
        </w:rPr>
        <w:t>的检测报告；</w:t>
      </w:r>
    </w:p>
    <w:p>
      <w:pPr>
        <w:pStyle w:val="32"/>
        <w:keepNext w:val="0"/>
        <w:keepLines w:val="0"/>
        <w:pageBreakBefore w:val="0"/>
        <w:widowControl/>
        <w:numPr>
          <w:ilvl w:val="3"/>
          <w:numId w:val="1"/>
        </w:numPr>
        <w:kinsoku/>
        <w:wordWrap/>
        <w:overflowPunct/>
        <w:topLinePunct w:val="0"/>
        <w:autoSpaceDE/>
        <w:autoSpaceDN/>
        <w:bidi w:val="0"/>
        <w:adjustRightInd/>
        <w:snapToGrid/>
        <w:spacing w:before="312" w:after="312" w:line="360" w:lineRule="auto"/>
        <w:ind w:left="0"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lang w:val="en-US" w:eastAsia="zh-CN"/>
        </w:rPr>
        <w:t>检测机构在工程现场进行抽样或现场检测，其工程概况、检测内容、检测依据、检测方法、检测场所、检测设备、取样方式、代表数量、部位、检测数据和检测结果等内容的原始记录，以及影像、照片等。</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检测机构应当建立档案管理制度。检测合同、委托单、检测数据原始记录、检测报告按照年度统一编号，编号应当连续，不得随意抽撤、涂改。检测档案可是纸质文件或电子文件。电子文件应与相应的纸质文件材料一并归档保存。</w:t>
      </w:r>
    </w:p>
    <w:p>
      <w:pPr>
        <w:pStyle w:val="32"/>
        <w:keepNext w:val="0"/>
        <w:keepLines w:val="0"/>
        <w:pageBreakBefore w:val="0"/>
        <w:widowControl/>
        <w:numPr>
          <w:ilvl w:val="2"/>
          <w:numId w:val="1"/>
        </w:numPr>
        <w:kinsoku/>
        <w:wordWrap/>
        <w:overflowPunct/>
        <w:topLinePunct w:val="0"/>
        <w:autoSpaceDE/>
        <w:autoSpaceDN/>
        <w:bidi w:val="0"/>
        <w:adjustRightInd/>
        <w:snapToGrid/>
        <w:spacing w:before="312" w:after="312" w:line="360" w:lineRule="auto"/>
        <w:ind w:left="284"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原始记录和报告的保存期限不少于6 年。涉及结构安全的试块、试件及结构建筑材料的检测资料汇总表和有关主体结构、钢结构、市政基础设施主体结构的检测档案等宜为20年；其他检测资料档案保管期限宜不少于6年。</w:t>
      </w:r>
    </w:p>
    <w:p>
      <w:pPr>
        <w:pStyle w:val="29"/>
        <w:rPr>
          <w:rFonts w:hint="eastAsia" w:ascii="宋体" w:hAnsi="宋体" w:eastAsia="宋体" w:cs="宋体"/>
          <w:kern w:val="2"/>
          <w:sz w:val="21"/>
          <w:szCs w:val="21"/>
          <w:lang w:val="en-US" w:eastAsia="zh-CN" w:bidi="ar-SA"/>
        </w:rPr>
      </w:pPr>
    </w:p>
    <w:p>
      <w:pPr>
        <w:pStyle w:val="29"/>
        <w:rPr>
          <w:rFonts w:hint="eastAsia" w:ascii="宋体" w:hAnsi="宋体" w:eastAsia="宋体" w:cs="宋体"/>
          <w:kern w:val="2"/>
          <w:sz w:val="21"/>
          <w:szCs w:val="21"/>
          <w:lang w:val="en-US" w:eastAsia="zh-CN" w:bidi="ar-SA"/>
        </w:rPr>
      </w:pPr>
    </w:p>
    <w:p>
      <w:pPr>
        <w:pStyle w:val="29"/>
        <w:rPr>
          <w:rFonts w:hint="eastAsia" w:ascii="宋体" w:hAnsi="宋体" w:eastAsia="宋体" w:cs="宋体"/>
          <w:kern w:val="2"/>
          <w:sz w:val="21"/>
          <w:szCs w:val="21"/>
          <w:lang w:val="en-US" w:eastAsia="zh-CN" w:bidi="ar-SA"/>
        </w:rPr>
      </w:pPr>
    </w:p>
    <w:p>
      <w:pPr>
        <w:pStyle w:val="29"/>
        <w:rPr>
          <w:rFonts w:hint="eastAsia" w:ascii="宋体" w:hAnsi="宋体" w:eastAsia="宋体" w:cs="宋体"/>
          <w:kern w:val="2"/>
          <w:sz w:val="21"/>
          <w:szCs w:val="21"/>
          <w:lang w:val="en-US" w:eastAsia="zh-CN" w:bidi="ar-SA"/>
        </w:rPr>
      </w:pPr>
    </w:p>
    <w:p>
      <w:pPr>
        <w:pStyle w:val="29"/>
        <w:rPr>
          <w:rFonts w:hint="eastAsia" w:ascii="宋体" w:hAnsi="宋体" w:eastAsia="宋体" w:cs="宋体"/>
          <w:kern w:val="2"/>
          <w:sz w:val="21"/>
          <w:szCs w:val="21"/>
          <w:lang w:val="en-US" w:eastAsia="zh-CN" w:bidi="ar-SA"/>
        </w:rPr>
      </w:pPr>
    </w:p>
    <w:p>
      <w:pPr>
        <w:pStyle w:val="29"/>
        <w:rPr>
          <w:rFonts w:hint="eastAsia" w:ascii="宋体" w:hAnsi="宋体" w:eastAsia="宋体" w:cs="宋体"/>
          <w:kern w:val="2"/>
          <w:sz w:val="21"/>
          <w:szCs w:val="21"/>
          <w:lang w:val="en-US" w:eastAsia="zh-CN" w:bidi="ar-SA"/>
        </w:rPr>
      </w:pPr>
    </w:p>
    <w:p>
      <w:pPr>
        <w:pStyle w:val="29"/>
        <w:ind w:left="0" w:leftChars="0" w:firstLine="0" w:firstLineChars="0"/>
        <w:rPr>
          <w:rFonts w:hint="eastAsia" w:ascii="宋体" w:hAnsi="宋体" w:eastAsia="宋体" w:cs="宋体"/>
          <w:kern w:val="2"/>
          <w:sz w:val="21"/>
          <w:szCs w:val="21"/>
          <w:lang w:val="en-US" w:eastAsia="zh-CN" w:bidi="ar-SA"/>
        </w:rPr>
      </w:pPr>
    </w:p>
    <w:p>
      <w:pPr>
        <w:pStyle w:val="29"/>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参  考  文  件</w:t>
      </w:r>
    </w:p>
    <w:p>
      <w:pPr>
        <w:pStyle w:val="29"/>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w:t>
      </w:r>
      <w:r>
        <w:rPr>
          <w:rFonts w:hint="eastAsia" w:ascii="宋体" w:hAnsi="宋体" w:eastAsia="宋体" w:cs="宋体"/>
        </w:rPr>
        <w:t>建设工程质量检测管理办法</w:t>
      </w:r>
      <w:r>
        <w:rPr>
          <w:rFonts w:hint="eastAsia" w:ascii="宋体" w:hAnsi="宋体" w:eastAsia="宋体" w:cs="宋体"/>
          <w:lang w:eastAsia="zh-CN"/>
        </w:rPr>
        <w:t>》</w:t>
      </w:r>
      <w:r>
        <w:rPr>
          <w:rFonts w:hint="eastAsia" w:ascii="宋体" w:hAnsi="宋体" w:eastAsia="宋体" w:cs="宋体"/>
          <w:lang w:val="en-US" w:eastAsia="zh-CN"/>
        </w:rPr>
        <w:t xml:space="preserve"> 住建部第57号令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cs="宋体"/>
          <w:lang w:val="en-US" w:eastAsia="zh-CN"/>
        </w:rPr>
        <w:t xml:space="preserve">【2】  </w:t>
      </w:r>
      <w:r>
        <w:rPr>
          <w:rFonts w:hint="eastAsia" w:ascii="宋体" w:hAnsi="宋体" w:eastAsia="宋体" w:cs="宋体"/>
          <w:lang w:val="en-US" w:eastAsia="zh-CN"/>
        </w:rPr>
        <w:t>《</w:t>
      </w:r>
      <w:r>
        <w:rPr>
          <w:rFonts w:hint="eastAsia" w:ascii="宋体" w:hAnsi="宋体" w:eastAsia="宋体" w:cs="宋体"/>
        </w:rPr>
        <w:t>建设工程质量检测机构资质标准</w:t>
      </w:r>
      <w:r>
        <w:rPr>
          <w:rFonts w:hint="eastAsia" w:ascii="宋体" w:hAnsi="宋体" w:eastAsia="宋体" w:cs="宋体"/>
          <w:lang w:val="en-US" w:eastAsia="zh-CN"/>
        </w:rPr>
        <w:t>》建质规【2023】1号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cs="宋体"/>
          <w:lang w:val="en-US" w:eastAsia="zh-CN"/>
        </w:rPr>
        <w:t xml:space="preserve">【3】  </w:t>
      </w:r>
      <w:r>
        <w:rPr>
          <w:rFonts w:hint="eastAsia" w:ascii="宋体" w:hAnsi="宋体" w:eastAsia="宋体" w:cs="宋体"/>
          <w:lang w:val="en-US" w:eastAsia="zh-CN"/>
        </w:rPr>
        <w:t>《</w:t>
      </w:r>
      <w:r>
        <w:rPr>
          <w:rFonts w:hint="eastAsia" w:ascii="宋体" w:hAnsi="宋体" w:eastAsia="宋体" w:cs="宋体"/>
        </w:rPr>
        <w:t>陕西省建设工程质量检测管理实施细则</w:t>
      </w:r>
      <w:r>
        <w:rPr>
          <w:rFonts w:hint="eastAsia" w:ascii="宋体" w:hAnsi="宋体" w:eastAsia="宋体" w:cs="宋体"/>
          <w:lang w:val="en-US" w:eastAsia="zh-CN"/>
        </w:rPr>
        <w:t xml:space="preserve">》陕建发【2023】191号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w:t>
      </w:r>
      <w:r>
        <w:rPr>
          <w:rFonts w:hint="eastAsia" w:ascii="宋体" w:hAnsi="宋体" w:eastAsia="宋体" w:cs="宋体"/>
        </w:rPr>
        <w:t>陕西省建设工程质量检测机构资质标准实施意见</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w:t>
      </w:r>
      <w:r>
        <w:rPr>
          <w:rFonts w:hint="eastAsia" w:ascii="宋体" w:hAnsi="宋体" w:eastAsia="宋体" w:cs="宋体"/>
          <w:lang w:val="en-US" w:eastAsia="zh-CN"/>
        </w:rPr>
        <w:t>检验检测机构资质认定管理办法</w:t>
      </w:r>
      <w:r>
        <w:rPr>
          <w:rFonts w:hint="eastAsia" w:ascii="宋体" w:hAnsi="宋体" w:eastAsia="宋体" w:cs="宋体"/>
          <w:lang w:eastAsia="zh-CN"/>
        </w:rPr>
        <w:t>》</w:t>
      </w:r>
      <w:r>
        <w:rPr>
          <w:rFonts w:hint="eastAsia" w:ascii="宋体" w:hAnsi="宋体" w:eastAsia="宋体" w:cs="宋体"/>
          <w:lang w:val="en-US" w:eastAsia="zh-CN"/>
        </w:rPr>
        <w:t>市场监管</w:t>
      </w:r>
      <w:r>
        <w:rPr>
          <w:rFonts w:hint="eastAsia" w:ascii="宋体" w:hAnsi="宋体" w:eastAsia="宋体" w:cs="宋体"/>
          <w:lang w:eastAsia="zh-CN"/>
        </w:rPr>
        <w:t>总局第163号令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pStyle w:val="32"/>
        <w:numPr>
          <w:ilvl w:val="255"/>
          <w:numId w:val="0"/>
        </w:numPr>
        <w:spacing w:before="312" w:after="312"/>
        <w:ind w:firstLine="624" w:firstLineChars="195"/>
        <w:rPr>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MTQ3ODliZGUwMzg1MTA0OWUzZTg2NjkxODA5NDMifQ=="/>
  </w:docVars>
  <w:rsids>
    <w:rsidRoot w:val="009C06DD"/>
    <w:rsid w:val="0008007D"/>
    <w:rsid w:val="000A52D5"/>
    <w:rsid w:val="000A5A31"/>
    <w:rsid w:val="000C3D0D"/>
    <w:rsid w:val="000F37EA"/>
    <w:rsid w:val="0010188C"/>
    <w:rsid w:val="00117F1A"/>
    <w:rsid w:val="00143564"/>
    <w:rsid w:val="001A1465"/>
    <w:rsid w:val="001C67D3"/>
    <w:rsid w:val="00215AA4"/>
    <w:rsid w:val="002534A9"/>
    <w:rsid w:val="002968BF"/>
    <w:rsid w:val="002A4F19"/>
    <w:rsid w:val="00307E4B"/>
    <w:rsid w:val="00314E43"/>
    <w:rsid w:val="0035055D"/>
    <w:rsid w:val="00357ED4"/>
    <w:rsid w:val="00374060"/>
    <w:rsid w:val="00397375"/>
    <w:rsid w:val="004176CB"/>
    <w:rsid w:val="004274BD"/>
    <w:rsid w:val="0049513C"/>
    <w:rsid w:val="004C51E6"/>
    <w:rsid w:val="00524B9B"/>
    <w:rsid w:val="00526C00"/>
    <w:rsid w:val="0053033B"/>
    <w:rsid w:val="00561E9E"/>
    <w:rsid w:val="005633FD"/>
    <w:rsid w:val="005702CF"/>
    <w:rsid w:val="005D4603"/>
    <w:rsid w:val="0066615E"/>
    <w:rsid w:val="00666C0C"/>
    <w:rsid w:val="0067062C"/>
    <w:rsid w:val="00692284"/>
    <w:rsid w:val="006C02B3"/>
    <w:rsid w:val="007B0FA9"/>
    <w:rsid w:val="007D3DAA"/>
    <w:rsid w:val="007F00F6"/>
    <w:rsid w:val="00814795"/>
    <w:rsid w:val="0085018C"/>
    <w:rsid w:val="00865D4E"/>
    <w:rsid w:val="008E0A48"/>
    <w:rsid w:val="00936735"/>
    <w:rsid w:val="00984FDE"/>
    <w:rsid w:val="009C06DD"/>
    <w:rsid w:val="00A1560D"/>
    <w:rsid w:val="00A24D61"/>
    <w:rsid w:val="00A5088A"/>
    <w:rsid w:val="00A52392"/>
    <w:rsid w:val="00A65110"/>
    <w:rsid w:val="00AA0BF4"/>
    <w:rsid w:val="00AB23D1"/>
    <w:rsid w:val="00B136BE"/>
    <w:rsid w:val="00B400AD"/>
    <w:rsid w:val="00B4356D"/>
    <w:rsid w:val="00B700AD"/>
    <w:rsid w:val="00B76B41"/>
    <w:rsid w:val="00B952FB"/>
    <w:rsid w:val="00BA309A"/>
    <w:rsid w:val="00CC12E6"/>
    <w:rsid w:val="00CF3970"/>
    <w:rsid w:val="00D1639B"/>
    <w:rsid w:val="00D248F3"/>
    <w:rsid w:val="00D24E82"/>
    <w:rsid w:val="00D7718E"/>
    <w:rsid w:val="00D93C28"/>
    <w:rsid w:val="00E55F18"/>
    <w:rsid w:val="00E6439E"/>
    <w:rsid w:val="00EC77BB"/>
    <w:rsid w:val="00EF3025"/>
    <w:rsid w:val="00F0436B"/>
    <w:rsid w:val="00F82568"/>
    <w:rsid w:val="00FE3DB9"/>
    <w:rsid w:val="013204E0"/>
    <w:rsid w:val="017D743A"/>
    <w:rsid w:val="018379C7"/>
    <w:rsid w:val="02E16CD7"/>
    <w:rsid w:val="02F93376"/>
    <w:rsid w:val="032B6C3A"/>
    <w:rsid w:val="03600692"/>
    <w:rsid w:val="03692EE2"/>
    <w:rsid w:val="03F33BF5"/>
    <w:rsid w:val="03FA1935"/>
    <w:rsid w:val="045C5566"/>
    <w:rsid w:val="04DC3D28"/>
    <w:rsid w:val="05567DBD"/>
    <w:rsid w:val="05732A19"/>
    <w:rsid w:val="05A804D3"/>
    <w:rsid w:val="060E0BAD"/>
    <w:rsid w:val="06A0349B"/>
    <w:rsid w:val="06CB284D"/>
    <w:rsid w:val="06FC7AC5"/>
    <w:rsid w:val="078B2729"/>
    <w:rsid w:val="07ED0962"/>
    <w:rsid w:val="07F00814"/>
    <w:rsid w:val="08394CE6"/>
    <w:rsid w:val="086C1EFF"/>
    <w:rsid w:val="08904D98"/>
    <w:rsid w:val="089C4CDE"/>
    <w:rsid w:val="0963712E"/>
    <w:rsid w:val="0972140E"/>
    <w:rsid w:val="09F064E7"/>
    <w:rsid w:val="0A1B1507"/>
    <w:rsid w:val="0B2479FA"/>
    <w:rsid w:val="0B386712"/>
    <w:rsid w:val="0B5D1A71"/>
    <w:rsid w:val="0B715EE0"/>
    <w:rsid w:val="0C1F4BE3"/>
    <w:rsid w:val="0C3628D7"/>
    <w:rsid w:val="0C3F4AF6"/>
    <w:rsid w:val="0CB3217A"/>
    <w:rsid w:val="0CC6582A"/>
    <w:rsid w:val="0D4F2503"/>
    <w:rsid w:val="0D6E7E4F"/>
    <w:rsid w:val="0D78464A"/>
    <w:rsid w:val="0E6203C4"/>
    <w:rsid w:val="0EC84DAE"/>
    <w:rsid w:val="0F2904D1"/>
    <w:rsid w:val="10597BAB"/>
    <w:rsid w:val="107C6762"/>
    <w:rsid w:val="113B582F"/>
    <w:rsid w:val="12125BBA"/>
    <w:rsid w:val="123A7E4C"/>
    <w:rsid w:val="12B83C43"/>
    <w:rsid w:val="139808A3"/>
    <w:rsid w:val="13E57C7B"/>
    <w:rsid w:val="13FC4A24"/>
    <w:rsid w:val="14120835"/>
    <w:rsid w:val="148E3686"/>
    <w:rsid w:val="14BD727B"/>
    <w:rsid w:val="1541616D"/>
    <w:rsid w:val="15675280"/>
    <w:rsid w:val="15BE726E"/>
    <w:rsid w:val="15F5110D"/>
    <w:rsid w:val="164510DE"/>
    <w:rsid w:val="16783AEC"/>
    <w:rsid w:val="1682026D"/>
    <w:rsid w:val="17910E65"/>
    <w:rsid w:val="188449CB"/>
    <w:rsid w:val="18A13CF4"/>
    <w:rsid w:val="18D93211"/>
    <w:rsid w:val="18ED2BF1"/>
    <w:rsid w:val="19F93196"/>
    <w:rsid w:val="1A423961"/>
    <w:rsid w:val="1A7016AA"/>
    <w:rsid w:val="1B644217"/>
    <w:rsid w:val="1B86308D"/>
    <w:rsid w:val="1C172C68"/>
    <w:rsid w:val="1C77288D"/>
    <w:rsid w:val="1D002198"/>
    <w:rsid w:val="1D100F23"/>
    <w:rsid w:val="1D184E75"/>
    <w:rsid w:val="1E984654"/>
    <w:rsid w:val="1F1D514B"/>
    <w:rsid w:val="1F4F3CD3"/>
    <w:rsid w:val="1FB41DAE"/>
    <w:rsid w:val="20B0585B"/>
    <w:rsid w:val="210D265E"/>
    <w:rsid w:val="222D7A4B"/>
    <w:rsid w:val="22F202A3"/>
    <w:rsid w:val="234B56FD"/>
    <w:rsid w:val="235D4796"/>
    <w:rsid w:val="23AC7411"/>
    <w:rsid w:val="24B97696"/>
    <w:rsid w:val="25162D96"/>
    <w:rsid w:val="25526001"/>
    <w:rsid w:val="263E1888"/>
    <w:rsid w:val="264C0D8A"/>
    <w:rsid w:val="27C13545"/>
    <w:rsid w:val="27ED6AAE"/>
    <w:rsid w:val="280B3C23"/>
    <w:rsid w:val="2858552C"/>
    <w:rsid w:val="28A47ED9"/>
    <w:rsid w:val="29462C35"/>
    <w:rsid w:val="29DE3BB5"/>
    <w:rsid w:val="2AD877B5"/>
    <w:rsid w:val="2B6F5C11"/>
    <w:rsid w:val="2C1C51EE"/>
    <w:rsid w:val="2C47500A"/>
    <w:rsid w:val="2C4D5B17"/>
    <w:rsid w:val="2CA00D4E"/>
    <w:rsid w:val="2CF61A38"/>
    <w:rsid w:val="2D554335"/>
    <w:rsid w:val="2DD8419C"/>
    <w:rsid w:val="2DF92A15"/>
    <w:rsid w:val="2E1857F1"/>
    <w:rsid w:val="2EBD433B"/>
    <w:rsid w:val="2EC4789A"/>
    <w:rsid w:val="2F48303E"/>
    <w:rsid w:val="2FD66924"/>
    <w:rsid w:val="2FE12958"/>
    <w:rsid w:val="305F244C"/>
    <w:rsid w:val="31A50478"/>
    <w:rsid w:val="31DA3116"/>
    <w:rsid w:val="31F07D44"/>
    <w:rsid w:val="3222253C"/>
    <w:rsid w:val="32E96947"/>
    <w:rsid w:val="32EC51EE"/>
    <w:rsid w:val="33EA3E24"/>
    <w:rsid w:val="33F32F8F"/>
    <w:rsid w:val="34382C38"/>
    <w:rsid w:val="35247773"/>
    <w:rsid w:val="353B6050"/>
    <w:rsid w:val="35634C85"/>
    <w:rsid w:val="357E34BA"/>
    <w:rsid w:val="35847270"/>
    <w:rsid w:val="35E00F68"/>
    <w:rsid w:val="363F5984"/>
    <w:rsid w:val="364C1077"/>
    <w:rsid w:val="3768578B"/>
    <w:rsid w:val="3776097C"/>
    <w:rsid w:val="37E35972"/>
    <w:rsid w:val="37F95870"/>
    <w:rsid w:val="381D4FCF"/>
    <w:rsid w:val="38274FDE"/>
    <w:rsid w:val="386F2B4A"/>
    <w:rsid w:val="388A1C63"/>
    <w:rsid w:val="39106E36"/>
    <w:rsid w:val="39221800"/>
    <w:rsid w:val="39790BF7"/>
    <w:rsid w:val="3BEF777E"/>
    <w:rsid w:val="3C072B93"/>
    <w:rsid w:val="3CC80944"/>
    <w:rsid w:val="3CE453C5"/>
    <w:rsid w:val="3D1B6EF9"/>
    <w:rsid w:val="3D7F5F8E"/>
    <w:rsid w:val="3EC263B9"/>
    <w:rsid w:val="3ECC1F89"/>
    <w:rsid w:val="3F9D0C74"/>
    <w:rsid w:val="3F9E50D8"/>
    <w:rsid w:val="3FAC4683"/>
    <w:rsid w:val="40330901"/>
    <w:rsid w:val="405368AD"/>
    <w:rsid w:val="41392E78"/>
    <w:rsid w:val="4197547A"/>
    <w:rsid w:val="41E40104"/>
    <w:rsid w:val="421E37E2"/>
    <w:rsid w:val="42336996"/>
    <w:rsid w:val="42866D19"/>
    <w:rsid w:val="42883C62"/>
    <w:rsid w:val="42E44134"/>
    <w:rsid w:val="431E0562"/>
    <w:rsid w:val="43F9776B"/>
    <w:rsid w:val="447D7607"/>
    <w:rsid w:val="458B1CF2"/>
    <w:rsid w:val="45A06AE7"/>
    <w:rsid w:val="466F2AEA"/>
    <w:rsid w:val="47310655"/>
    <w:rsid w:val="476D28A6"/>
    <w:rsid w:val="4780267D"/>
    <w:rsid w:val="47B77E17"/>
    <w:rsid w:val="47C65B25"/>
    <w:rsid w:val="4AB40DA6"/>
    <w:rsid w:val="4B123776"/>
    <w:rsid w:val="4B1B446B"/>
    <w:rsid w:val="4B1C1C3C"/>
    <w:rsid w:val="4B790F6D"/>
    <w:rsid w:val="4BE972BE"/>
    <w:rsid w:val="4BF27BC4"/>
    <w:rsid w:val="4C0900A9"/>
    <w:rsid w:val="4C4C1F96"/>
    <w:rsid w:val="4D1876E4"/>
    <w:rsid w:val="4E43121C"/>
    <w:rsid w:val="4EAC5567"/>
    <w:rsid w:val="4EFB231A"/>
    <w:rsid w:val="4EFF657E"/>
    <w:rsid w:val="4F7D74A2"/>
    <w:rsid w:val="4F8825D2"/>
    <w:rsid w:val="4F8F4AA2"/>
    <w:rsid w:val="50900CD5"/>
    <w:rsid w:val="52DB4E8A"/>
    <w:rsid w:val="52F155C2"/>
    <w:rsid w:val="534E3C57"/>
    <w:rsid w:val="53A21CF6"/>
    <w:rsid w:val="54120B01"/>
    <w:rsid w:val="5435424F"/>
    <w:rsid w:val="553C2E77"/>
    <w:rsid w:val="55B138AF"/>
    <w:rsid w:val="569B4F2C"/>
    <w:rsid w:val="576A27C0"/>
    <w:rsid w:val="57A248AE"/>
    <w:rsid w:val="58EE3C97"/>
    <w:rsid w:val="58FE78A6"/>
    <w:rsid w:val="597F6FAD"/>
    <w:rsid w:val="5A4C5279"/>
    <w:rsid w:val="5B84447B"/>
    <w:rsid w:val="5B8E51D5"/>
    <w:rsid w:val="5BBC6145"/>
    <w:rsid w:val="5C2F5114"/>
    <w:rsid w:val="5DAA4A5C"/>
    <w:rsid w:val="5DDD30F8"/>
    <w:rsid w:val="5DE55007"/>
    <w:rsid w:val="5EEE621E"/>
    <w:rsid w:val="5F5108C5"/>
    <w:rsid w:val="5F5962D8"/>
    <w:rsid w:val="5F75492A"/>
    <w:rsid w:val="5FBC1255"/>
    <w:rsid w:val="5FC14EF9"/>
    <w:rsid w:val="60BB7A26"/>
    <w:rsid w:val="60BE455E"/>
    <w:rsid w:val="613476DF"/>
    <w:rsid w:val="616823B8"/>
    <w:rsid w:val="616A3EBF"/>
    <w:rsid w:val="61CF1E64"/>
    <w:rsid w:val="62B86D17"/>
    <w:rsid w:val="65677132"/>
    <w:rsid w:val="6569254B"/>
    <w:rsid w:val="66707909"/>
    <w:rsid w:val="667E5B82"/>
    <w:rsid w:val="669467BA"/>
    <w:rsid w:val="66B25204"/>
    <w:rsid w:val="67010561"/>
    <w:rsid w:val="67915D89"/>
    <w:rsid w:val="67940EB7"/>
    <w:rsid w:val="67BD2CFE"/>
    <w:rsid w:val="685110D7"/>
    <w:rsid w:val="68631160"/>
    <w:rsid w:val="6868025C"/>
    <w:rsid w:val="68D172A6"/>
    <w:rsid w:val="68D8387C"/>
    <w:rsid w:val="68E406E7"/>
    <w:rsid w:val="68EA39A3"/>
    <w:rsid w:val="6A3D2E1A"/>
    <w:rsid w:val="6AE34B4E"/>
    <w:rsid w:val="6B032AFA"/>
    <w:rsid w:val="6BAA2B23"/>
    <w:rsid w:val="6BD568D5"/>
    <w:rsid w:val="6BF34326"/>
    <w:rsid w:val="6C401F32"/>
    <w:rsid w:val="6C431322"/>
    <w:rsid w:val="6C504264"/>
    <w:rsid w:val="6CA41529"/>
    <w:rsid w:val="6CD77B22"/>
    <w:rsid w:val="6D545029"/>
    <w:rsid w:val="6D6D3719"/>
    <w:rsid w:val="6DBB2A7A"/>
    <w:rsid w:val="6F9E1043"/>
    <w:rsid w:val="6FBE16E5"/>
    <w:rsid w:val="700C41FF"/>
    <w:rsid w:val="7044651D"/>
    <w:rsid w:val="706556EF"/>
    <w:rsid w:val="70B3482A"/>
    <w:rsid w:val="70DC1E23"/>
    <w:rsid w:val="71020F4C"/>
    <w:rsid w:val="715826FA"/>
    <w:rsid w:val="7212154B"/>
    <w:rsid w:val="721D161D"/>
    <w:rsid w:val="72650885"/>
    <w:rsid w:val="729A4383"/>
    <w:rsid w:val="72DA7C6D"/>
    <w:rsid w:val="72F9789D"/>
    <w:rsid w:val="730D778D"/>
    <w:rsid w:val="73EA65C6"/>
    <w:rsid w:val="742C0DD7"/>
    <w:rsid w:val="74337523"/>
    <w:rsid w:val="749E25CB"/>
    <w:rsid w:val="74AA54EE"/>
    <w:rsid w:val="7501705F"/>
    <w:rsid w:val="754A5C92"/>
    <w:rsid w:val="7551102E"/>
    <w:rsid w:val="75930F1E"/>
    <w:rsid w:val="759A04FF"/>
    <w:rsid w:val="761C5D18"/>
    <w:rsid w:val="767E76A5"/>
    <w:rsid w:val="768F2AC8"/>
    <w:rsid w:val="76D8785C"/>
    <w:rsid w:val="770E1842"/>
    <w:rsid w:val="777C749A"/>
    <w:rsid w:val="77B87075"/>
    <w:rsid w:val="77D1412A"/>
    <w:rsid w:val="78A01A1D"/>
    <w:rsid w:val="78DE0F5D"/>
    <w:rsid w:val="78EA7811"/>
    <w:rsid w:val="78F94E65"/>
    <w:rsid w:val="7B342789"/>
    <w:rsid w:val="7B416401"/>
    <w:rsid w:val="7B690127"/>
    <w:rsid w:val="7BD11AF2"/>
    <w:rsid w:val="7C240B22"/>
    <w:rsid w:val="7C5D530C"/>
    <w:rsid w:val="7EAF3E7B"/>
    <w:rsid w:val="F63AA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5">
    <w:name w:val="Balloon Text"/>
    <w:basedOn w:val="1"/>
    <w:link w:val="37"/>
    <w:semiHidden/>
    <w:unhideWhenUsed/>
    <w:qFormat/>
    <w:uiPriority w:val="99"/>
    <w:rPr>
      <w:sz w:val="18"/>
      <w:szCs w:val="18"/>
    </w:rPr>
  </w:style>
  <w:style w:type="paragraph" w:styleId="6">
    <w:name w:val="footer"/>
    <w:basedOn w:val="1"/>
    <w:link w:val="43"/>
    <w:semiHidden/>
    <w:unhideWhenUsed/>
    <w:qFormat/>
    <w:uiPriority w:val="99"/>
    <w:pPr>
      <w:tabs>
        <w:tab w:val="center" w:pos="4153"/>
        <w:tab w:val="right" w:pos="8306"/>
      </w:tabs>
      <w:snapToGrid w:val="0"/>
      <w:jc w:val="left"/>
    </w:pPr>
    <w:rPr>
      <w:sz w:val="18"/>
      <w:szCs w:val="18"/>
    </w:rPr>
  </w:style>
  <w:style w:type="paragraph" w:styleId="7">
    <w:name w:val="header"/>
    <w:basedOn w:val="1"/>
    <w:link w:val="4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qFormat/>
    <w:uiPriority w:val="0"/>
    <w:pPr>
      <w:ind w:firstLine="420" w:firstLineChars="200"/>
    </w:pPr>
  </w:style>
  <w:style w:type="character" w:styleId="12">
    <w:name w:val="Emphasis"/>
    <w:basedOn w:val="11"/>
    <w:qFormat/>
    <w:uiPriority w:val="20"/>
    <w:rPr>
      <w:i/>
      <w:iCs/>
    </w:rPr>
  </w:style>
  <w:style w:type="character" w:styleId="13">
    <w:name w:val="Hyperlink"/>
    <w:basedOn w:val="11"/>
    <w:qFormat/>
    <w:uiPriority w:val="0"/>
    <w:rPr>
      <w:color w:val="0000FF"/>
      <w:spacing w:val="0"/>
      <w:w w:val="100"/>
      <w:szCs w:val="21"/>
      <w:u w:val="single"/>
      <w:lang w:val="en-US" w:eastAsia="zh-CN"/>
    </w:rPr>
  </w:style>
  <w:style w:type="character" w:customStyle="1" w:styleId="14">
    <w:name w:val="发布"/>
    <w:qFormat/>
    <w:uiPriority w:val="0"/>
    <w:rPr>
      <w:rFonts w:ascii="黑体" w:eastAsia="黑体"/>
      <w:spacing w:val="85"/>
      <w:w w:val="100"/>
      <w:position w:val="3"/>
      <w:sz w:val="28"/>
      <w:szCs w:val="28"/>
    </w:rPr>
  </w:style>
  <w:style w:type="paragraph" w:customStyle="1" w:styleId="15">
    <w:name w:val="封面一致性程度标识"/>
    <w:basedOn w:val="16"/>
    <w:qFormat/>
    <w:uiPriority w:val="0"/>
    <w:pPr>
      <w:spacing w:before="440"/>
    </w:pPr>
    <w:rPr>
      <w:rFonts w:ascii="宋体" w:eastAsia="宋体"/>
    </w:rPr>
  </w:style>
  <w:style w:type="paragraph" w:customStyle="1" w:styleId="16">
    <w:name w:val="封面标准英文名称"/>
    <w:basedOn w:val="17"/>
    <w:qFormat/>
    <w:uiPriority w:val="0"/>
    <w:pPr>
      <w:spacing w:before="370" w:line="400" w:lineRule="exact"/>
    </w:pPr>
    <w:rPr>
      <w:rFonts w:ascii="Times New Roman"/>
      <w:sz w:val="28"/>
      <w:szCs w:val="28"/>
    </w:rPr>
  </w:style>
  <w:style w:type="paragraph" w:customStyle="1" w:styleId="1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8">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9">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20">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1">
    <w:name w:val="封面标准文稿编辑信息"/>
    <w:basedOn w:val="22"/>
    <w:qFormat/>
    <w:uiPriority w:val="0"/>
    <w:pPr>
      <w:spacing w:before="180" w:line="180" w:lineRule="exact"/>
    </w:pPr>
    <w:rPr>
      <w:sz w:val="21"/>
    </w:rPr>
  </w:style>
  <w:style w:type="paragraph" w:customStyle="1" w:styleId="22">
    <w:name w:val="封面标准文稿类别"/>
    <w:basedOn w:val="15"/>
    <w:qFormat/>
    <w:uiPriority w:val="0"/>
    <w:pPr>
      <w:spacing w:after="160" w:line="240" w:lineRule="auto"/>
    </w:pPr>
    <w:rPr>
      <w:sz w:val="24"/>
    </w:rPr>
  </w:style>
  <w:style w:type="paragraph" w:customStyle="1" w:styleId="23">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4">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28">
    <w:name w:val="段 Char"/>
    <w:basedOn w:val="11"/>
    <w:link w:val="29"/>
    <w:qFormat/>
    <w:uiPriority w:val="0"/>
    <w:rPr>
      <w:rFonts w:ascii="宋体"/>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0">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一级条标题"/>
    <w:next w:val="29"/>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paragraph" w:customStyle="1" w:styleId="32">
    <w:name w:val="章标题"/>
    <w:next w:val="29"/>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3">
    <w:name w:val="终结线"/>
    <w:basedOn w:val="1"/>
    <w:qFormat/>
    <w:uiPriority w:val="0"/>
    <w:pPr>
      <w:framePr w:hSpace="181" w:vSpace="181" w:wrap="around" w:vAnchor="text" w:hAnchor="margin" w:xAlign="center" w:y="285"/>
    </w:pPr>
    <w:rPr>
      <w:rFonts w:ascii="Times New Roman" w:hAnsi="Times New Roman"/>
    </w:rPr>
  </w:style>
  <w:style w:type="paragraph" w:customStyle="1" w:styleId="34">
    <w:name w:val="Heading #5|1"/>
    <w:basedOn w:val="1"/>
    <w:qFormat/>
    <w:uiPriority w:val="0"/>
    <w:pPr>
      <w:spacing w:after="60"/>
      <w:outlineLvl w:val="4"/>
    </w:pPr>
    <w:rPr>
      <w:rFonts w:ascii="Times New Roman" w:hAnsi="Times New Roman"/>
      <w:sz w:val="20"/>
      <w:szCs w:val="20"/>
    </w:rPr>
  </w:style>
  <w:style w:type="paragraph" w:customStyle="1" w:styleId="35">
    <w:name w:val="Body text|3"/>
    <w:basedOn w:val="1"/>
    <w:qFormat/>
    <w:uiPriority w:val="0"/>
    <w:pPr>
      <w:spacing w:after="80"/>
    </w:pPr>
    <w:rPr>
      <w:rFonts w:ascii="Times New Roman" w:hAnsi="Times New Roman"/>
      <w:sz w:val="20"/>
      <w:szCs w:val="20"/>
    </w:rPr>
  </w:style>
  <w:style w:type="paragraph" w:customStyle="1" w:styleId="36">
    <w:name w:val="Body text|1"/>
    <w:basedOn w:val="1"/>
    <w:qFormat/>
    <w:uiPriority w:val="0"/>
    <w:pPr>
      <w:spacing w:after="60" w:line="334" w:lineRule="auto"/>
      <w:ind w:firstLine="400"/>
    </w:pPr>
    <w:rPr>
      <w:rFonts w:ascii="宋体" w:hAnsi="宋体" w:cs="宋体"/>
      <w:sz w:val="20"/>
      <w:szCs w:val="20"/>
      <w:lang w:val="zh-TW" w:eastAsia="zh-TW" w:bidi="zh-TW"/>
    </w:rPr>
  </w:style>
  <w:style w:type="character" w:customStyle="1" w:styleId="37">
    <w:name w:val="批注框文本 Char"/>
    <w:basedOn w:val="11"/>
    <w:link w:val="5"/>
    <w:semiHidden/>
    <w:qFormat/>
    <w:uiPriority w:val="99"/>
    <w:rPr>
      <w:rFonts w:ascii="Calibri" w:hAnsi="Calibri" w:eastAsia="宋体" w:cs="Times New Roman"/>
      <w:sz w:val="18"/>
      <w:szCs w:val="18"/>
    </w:rPr>
  </w:style>
  <w:style w:type="paragraph" w:customStyle="1" w:styleId="38">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9">
    <w:name w:val="二级条标题"/>
    <w:basedOn w:val="31"/>
    <w:next w:val="29"/>
    <w:qFormat/>
    <w:uiPriority w:val="0"/>
    <w:pPr>
      <w:tabs>
        <w:tab w:val="left" w:pos="2160"/>
        <w:tab w:val="clear" w:pos="1440"/>
      </w:tabs>
      <w:spacing w:before="50" w:after="50"/>
      <w:ind w:left="2160"/>
      <w:outlineLvl w:val="3"/>
    </w:pPr>
  </w:style>
  <w:style w:type="paragraph" w:customStyle="1" w:styleId="40">
    <w:name w:val="正文表标题"/>
    <w:next w:val="29"/>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1">
    <w:name w:val="三级无"/>
    <w:basedOn w:val="1"/>
    <w:qFormat/>
    <w:uiPriority w:val="0"/>
    <w:pPr>
      <w:widowControl/>
      <w:jc w:val="left"/>
      <w:outlineLvl w:val="4"/>
    </w:pPr>
    <w:rPr>
      <w:rFonts w:ascii="宋体" w:hAnsi="Times New Roman"/>
      <w:kern w:val="0"/>
      <w:szCs w:val="21"/>
    </w:rPr>
  </w:style>
  <w:style w:type="character" w:customStyle="1" w:styleId="42">
    <w:name w:val="页眉 Char"/>
    <w:basedOn w:val="11"/>
    <w:link w:val="7"/>
    <w:semiHidden/>
    <w:qFormat/>
    <w:uiPriority w:val="99"/>
    <w:rPr>
      <w:rFonts w:ascii="Calibri" w:hAnsi="Calibri" w:eastAsia="宋体" w:cs="Times New Roman"/>
      <w:kern w:val="2"/>
      <w:sz w:val="18"/>
      <w:szCs w:val="18"/>
    </w:rPr>
  </w:style>
  <w:style w:type="character" w:customStyle="1" w:styleId="43">
    <w:name w:val="页脚 Char"/>
    <w:basedOn w:val="11"/>
    <w:link w:val="6"/>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13</Pages>
  <Words>5376</Words>
  <Characters>6735</Characters>
  <Lines>30</Lines>
  <Paragraphs>8</Paragraphs>
  <TotalTime>12</TotalTime>
  <ScaleCrop>false</ScaleCrop>
  <LinksUpToDate>false</LinksUpToDate>
  <CharactersWithSpaces>6931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2020-10-20T17:08:00Z</dcterms:created>
  <dc:creator>LRNOVO</dc:creator>
  <cp:lastModifiedBy>信念</cp:lastModifiedBy>
  <dcterms:modified xsi:type="dcterms:W3CDTF">2024-06-06T02:57:25Z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D42CFA2F3FFB49768CECB12C97E43776_13</vt:lpwstr>
  </property>
</Properties>
</file>