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framePr w:vAnchor="page" w:hAnchor="page" w:x="1751" w:y="1424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ICS 62.020.20</w:t>
      </w:r>
    </w:p>
    <w:p>
      <w:pPr>
        <w:pStyle w:val="16"/>
        <w:framePr w:vAnchor="page" w:hAnchor="page" w:x="1751" w:y="1424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 22</w:t>
      </w:r>
    </w:p>
    <w:p>
      <w:pPr>
        <w:pStyle w:val="25"/>
        <w:framePr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rPr>
          <w:rFonts w:hint="default" w:eastAsia="宋体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DB6103</w:t>
      </w:r>
    </w:p>
    <w:p>
      <w:pPr>
        <w:pStyle w:val="23"/>
        <w:framePr w:w="9487"/>
        <w:rPr>
          <w:rFonts w:ascii="Times New Roman" w:hAnsi="Times New Roman"/>
        </w:rPr>
      </w:pPr>
      <w:r>
        <w:rPr>
          <w:rFonts w:hint="eastAsia" w:ascii="Times New Roman" w:hAnsi="Times New Roman"/>
        </w:rPr>
        <w:t>宝鸡市</w:t>
      </w:r>
      <w:r>
        <w:rPr>
          <w:rFonts w:ascii="Times New Roman" w:hAnsi="Times New Roman"/>
        </w:rPr>
        <w:t>地方标准</w:t>
      </w:r>
    </w:p>
    <w:p>
      <w:pPr>
        <w:pStyle w:val="18"/>
        <w:framePr w:x="1606" w:y="296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rPr>
          <w:rFonts w:hint="default" w:ascii="Times New Roman" w:eastAsia="黑体"/>
          <w:lang w:val="en-US" w:eastAsia="zh-CN"/>
        </w:rPr>
      </w:pPr>
      <w:r>
        <w:rPr>
          <w:rFonts w:ascii="Times New Roman"/>
        </w:rPr>
        <w:t xml:space="preserve">DB </w:t>
      </w:r>
      <w:r>
        <w:rPr>
          <w:rFonts w:hint="eastAsia" w:ascii="Times New Roman"/>
        </w:rPr>
        <w:t>6103</w:t>
      </w:r>
      <w:r>
        <w:rPr>
          <w:rFonts w:ascii="Times New Roman"/>
        </w:rPr>
        <w:t>/</w:t>
      </w:r>
      <w:r>
        <w:rPr>
          <w:rFonts w:hint="eastAsia" w:ascii="Times New Roman"/>
        </w:rPr>
        <w:t>T</w:t>
      </w:r>
      <w:r>
        <w:rPr>
          <w:rFonts w:hint="eastAsia" w:ascii="Times New Roman"/>
          <w:lang w:val="en-US" w:eastAsia="zh-CN"/>
        </w:rPr>
        <w:t xml:space="preserve">    —XXXX</w:t>
      </w:r>
    </w:p>
    <w:tbl>
      <w:tblPr>
        <w:tblStyle w:val="8"/>
        <w:tblpPr w:leftFromText="180" w:rightFromText="180" w:vertAnchor="text" w:horzAnchor="page" w:tblpX="2646" w:tblpY="421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7"/>
              <w:framePr w:w="0" w:hRule="auto" w:hSpace="0" w:wrap="auto" w:vAnchor="margin" w:hAnchor="text" w:xAlign="left" w:yAlign="inline"/>
              <w:jc w:val="both"/>
              <w:rPr>
                <w:rFonts w:ascii="Times New Roman"/>
              </w:rPr>
            </w:pPr>
            <w:r>
              <w:rPr>
                <w:sz w:val="21"/>
              </w:rPr>
              <w:pict>
                <v:line id="_x0000_s2052" o:spid="_x0000_s2052" o:spt="20" style="position:absolute;left:0pt;margin-left:-80pt;margin-top:70.8pt;height:0.05pt;width:490.8pt;z-index:251660288;mso-width-relative:page;mso-height-relative:page;" fillcolor="#FFFFFF" filled="t" stroked="t" coordsize="21600,21600">
                  <v:path arrowok="t"/>
                  <v:fill on="t" color2="#FFFFFF" focussize="0,0"/>
                  <v:stroke color="#000000"/>
                  <v:imagedata o:title=""/>
                  <o:lock v:ext="edit" aspectratio="f"/>
                </v:line>
              </w:pict>
            </w:r>
          </w:p>
        </w:tc>
      </w:tr>
    </w:tbl>
    <w:p>
      <w:pPr>
        <w:pStyle w:val="15"/>
        <w:framePr/>
        <w:spacing w:line="620" w:lineRule="exact"/>
      </w:pPr>
      <w:r>
        <w:rPr>
          <w:rFonts w:hint="eastAsia"/>
        </w:rPr>
        <w:t>猕猴桃园覆土栽培香菇技术规范</w:t>
      </w:r>
    </w:p>
    <w:p>
      <w:pPr>
        <w:pStyle w:val="15"/>
        <w:framePr/>
        <w:spacing w:line="300" w:lineRule="exact"/>
        <w:rPr>
          <w:sz w:val="28"/>
          <w:szCs w:val="28"/>
        </w:rPr>
      </w:pPr>
    </w:p>
    <w:p>
      <w:pPr>
        <w:pStyle w:val="15"/>
        <w:framePr/>
        <w:rPr>
          <w:rFonts w:hAnsi="黑体" w:cs="黑体"/>
          <w:sz w:val="28"/>
          <w:szCs w:val="28"/>
        </w:rPr>
      </w:pPr>
      <w:r>
        <w:rPr>
          <w:rFonts w:hint="eastAsia" w:hAnsi="黑体" w:cs="黑体"/>
          <w:sz w:val="28"/>
          <w:szCs w:val="28"/>
        </w:rPr>
        <w:t>（</w:t>
      </w:r>
      <w:r>
        <w:rPr>
          <w:rFonts w:hint="eastAsia" w:hAnsi="黑体" w:cs="黑体"/>
          <w:sz w:val="28"/>
          <w:szCs w:val="28"/>
          <w:lang w:eastAsia="zh-CN"/>
        </w:rPr>
        <w:t>征求意见</w:t>
      </w:r>
      <w:r>
        <w:rPr>
          <w:rFonts w:hint="eastAsia" w:hAnsi="黑体" w:cs="黑体"/>
          <w:sz w:val="28"/>
          <w:szCs w:val="28"/>
        </w:rPr>
        <w:t>稿</w:t>
      </w:r>
      <w:bookmarkStart w:id="6" w:name="_GoBack"/>
      <w:bookmarkEnd w:id="6"/>
      <w:r>
        <w:rPr>
          <w:rFonts w:hint="eastAsia" w:hAnsi="黑体" w:cs="黑体"/>
          <w:sz w:val="28"/>
          <w:szCs w:val="28"/>
        </w:rPr>
        <w:t>）</w:t>
      </w:r>
    </w:p>
    <w:p>
      <w:pPr>
        <w:pStyle w:val="22"/>
        <w:keepNext w:val="0"/>
        <w:keepLines w:val="0"/>
        <w:pageBreakBefore w:val="0"/>
        <w:framePr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561"/>
        <w:textAlignment w:val="auto"/>
      </w:pPr>
      <w:r>
        <w:t xml:space="preserve"> </w:t>
      </w:r>
      <w:r>
        <w:rPr>
          <w:rFonts w:hint="eastAsia"/>
        </w:rPr>
        <w:t>xxxx</w:t>
      </w:r>
      <w:r>
        <w:t xml:space="preserve">- </w:t>
      </w:r>
      <w:r>
        <w:rPr>
          <w:rFonts w:hint="eastAsia"/>
        </w:rPr>
        <w:t>xx</w:t>
      </w:r>
      <w:r>
        <w:t xml:space="preserve">- </w:t>
      </w:r>
      <w:r>
        <w:rPr>
          <w:rFonts w:hint="eastAsia"/>
        </w:rPr>
        <w:t>xx</w:t>
      </w:r>
      <w:r>
        <w:pict>
          <v:line id="直线 10" o:spid="_x0000_s2051" o:spt="20" style="position:absolute;left:0pt;margin-left:-0.05pt;margin-top:728.5pt;height:0pt;width:481.9pt;mso-position-vertical-relative:page;z-index:251659264;mso-width-relative:page;mso-height-relative:page;" coordsize="21600,21600" o:gfxdata="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JYdrPNYAAAALAQAADwAAAAAAAAABACAAAAAiAAAA&#10;ZHJzL2Rvd25yZXYueG1sUEsBAhQAFAAAAAgAh07iQMKPts7QAQAAnAMAAA4AAAAAAAAAAQAgAAAA&#10;JQEAAGRycy9lMm9Eb2MueG1sUEsFBgAAAAAGAAYAWQEAAGcFAAAAAA==&#10;">
            <v:path arrowok="t"/>
            <v:fill focussize="0,0"/>
            <v:stroke/>
            <v:imagedata o:title=""/>
            <o:lock v:ext="edit"/>
            <w10:anchorlock/>
          </v:line>
        </w:pict>
      </w:r>
      <w:r>
        <w:rPr>
          <w:rFonts w:hint="eastAsia"/>
        </w:rPr>
        <w:t>发布</w:t>
      </w:r>
    </w:p>
    <w:p>
      <w:pPr>
        <w:pStyle w:val="21"/>
        <w:keepNext w:val="0"/>
        <w:keepLines w:val="0"/>
        <w:pageBreakBefore w:val="0"/>
        <w:framePr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561"/>
        <w:textAlignment w:val="auto"/>
      </w:pPr>
      <w:r>
        <w:rPr>
          <w:rFonts w:hint="eastAsia"/>
        </w:rPr>
        <w:t>xxxx</w:t>
      </w:r>
      <w:r>
        <w:t xml:space="preserve">- </w:t>
      </w:r>
      <w:r>
        <w:rPr>
          <w:rFonts w:hint="eastAsia"/>
        </w:rPr>
        <w:t>xx</w:t>
      </w:r>
      <w:r>
        <w:t>-</w:t>
      </w:r>
      <w:r>
        <w:rPr>
          <w:rFonts w:hint="eastAsia"/>
        </w:rPr>
        <w:t>xx实施</w:t>
      </w:r>
    </w:p>
    <w:p>
      <w:pPr>
        <w:pStyle w:val="24"/>
        <w:framePr/>
        <w:ind w:firstLine="753"/>
        <w:rPr>
          <w:rStyle w:val="12"/>
          <w:rFonts w:ascii="Times New Roman"/>
        </w:rPr>
      </w:pPr>
      <w:bookmarkStart w:id="0" w:name="fm"/>
      <w:r>
        <w:rPr>
          <w:shd w:val="clear" w:color="FFFFFF" w:fill="D9D9D9"/>
        </w:rPr>
        <w:fldChar w:fldCharType="begin">
          <w:ffData>
            <w:name w:val="fm"/>
            <w:enabled/>
            <w:calcOnExit w:val="0"/>
            <w:textInput/>
          </w:ffData>
        </w:fldChar>
      </w:r>
      <w:r>
        <w:rPr>
          <w:shd w:val="clear" w:color="FFFFFF" w:fill="D9D9D9"/>
        </w:rPr>
        <w:instrText xml:space="preserve"> FORMTEXT </w:instrText>
      </w:r>
      <w:r>
        <w:rPr>
          <w:shd w:val="clear" w:color="FFFFFF" w:fill="D9D9D9"/>
        </w:rPr>
        <w:fldChar w:fldCharType="separate"/>
      </w:r>
      <w:r>
        <w:rPr>
          <w:rFonts w:hint="eastAsia"/>
          <w:shd w:val="clear" w:color="FFFFFF" w:fill="D9D9D9"/>
        </w:rPr>
        <w:t>宝鸡市</w:t>
      </w:r>
      <w:r>
        <w:rPr>
          <w:shd w:val="clear" w:color="FFFFFF" w:fill="D9D9D9"/>
        </w:rPr>
        <w:t>市场监督管理局</w:t>
      </w:r>
      <w:r>
        <w:rPr>
          <w:shd w:val="clear" w:color="FFFFFF" w:fill="D9D9D9"/>
        </w:rPr>
        <w:fldChar w:fldCharType="end"/>
      </w:r>
      <w:bookmarkEnd w:id="0"/>
      <w:r>
        <w:rPr>
          <w:rFonts w:eastAsia="MS Mincho"/>
          <w:shd w:val="clear" w:color="FFFFFF" w:fill="D9D9D9"/>
        </w:rPr>
        <w:t> </w:t>
      </w:r>
      <w:r>
        <w:rPr>
          <w:rFonts w:eastAsia="MS Mincho"/>
        </w:rPr>
        <w:t>  </w:t>
      </w:r>
      <w:r>
        <w:rPr>
          <w:rStyle w:val="12"/>
          <w:rFonts w:ascii="Times New Roman"/>
        </w:rPr>
        <w:t>发布</w:t>
      </w:r>
    </w:p>
    <w:p>
      <w:pPr>
        <w:pStyle w:val="24"/>
        <w:framePr/>
        <w:ind w:firstLine="900"/>
        <w:rPr>
          <w:rStyle w:val="12"/>
        </w:rPr>
      </w:pPr>
    </w:p>
    <w:p>
      <w:pPr>
        <w:pStyle w:val="24"/>
        <w:framePr/>
        <w:ind w:firstLine="900"/>
        <w:rPr>
          <w:rStyle w:val="12"/>
          <w:color w:val="FFFFFF" w:themeColor="background1"/>
          <w:position w:val="2"/>
        </w:rPr>
      </w:pPr>
    </w:p>
    <w:p>
      <w:pPr>
        <w:pStyle w:val="24"/>
        <w:framePr/>
        <w:ind w:firstLine="900"/>
        <w:rPr>
          <w:rStyle w:val="12"/>
        </w:rPr>
      </w:pPr>
    </w:p>
    <w:p>
      <w:pPr>
        <w:pStyle w:val="24"/>
        <w:framePr/>
        <w:ind w:firstLine="900"/>
        <w:rPr>
          <w:rStyle w:val="12"/>
        </w:rPr>
      </w:pPr>
    </w:p>
    <w:p>
      <w:pPr>
        <w:pStyle w:val="24"/>
        <w:framePr/>
        <w:ind w:firstLine="900"/>
        <w:rPr>
          <w:rStyle w:val="12"/>
        </w:rPr>
      </w:pPr>
    </w:p>
    <w:p>
      <w:pPr>
        <w:pStyle w:val="24"/>
        <w:framePr/>
        <w:ind w:firstLine="900"/>
        <w:rPr>
          <w:rStyle w:val="12"/>
        </w:rPr>
      </w:pPr>
    </w:p>
    <w:p>
      <w:pPr>
        <w:pStyle w:val="24"/>
        <w:framePr/>
        <w:ind w:firstLine="900"/>
        <w:rPr>
          <w:rStyle w:val="12"/>
        </w:rPr>
      </w:pPr>
    </w:p>
    <w:p>
      <w:pPr>
        <w:pStyle w:val="24"/>
        <w:framePr/>
        <w:ind w:firstLine="900"/>
        <w:rPr>
          <w:rStyle w:val="12"/>
        </w:rPr>
      </w:pPr>
    </w:p>
    <w:p>
      <w:pPr>
        <w:pStyle w:val="24"/>
        <w:framePr/>
        <w:ind w:firstLine="900"/>
        <w:rPr>
          <w:rStyle w:val="12"/>
        </w:rPr>
      </w:pPr>
    </w:p>
    <w:p>
      <w:pPr>
        <w:pStyle w:val="24"/>
        <w:framePr/>
        <w:ind w:firstLine="900"/>
        <w:rPr>
          <w:rStyle w:val="12"/>
        </w:rPr>
      </w:pPr>
    </w:p>
    <w:p>
      <w:pPr>
        <w:pStyle w:val="24"/>
        <w:framePr/>
        <w:ind w:firstLine="900"/>
        <w:rPr>
          <w:rStyle w:val="12"/>
        </w:rPr>
      </w:pPr>
    </w:p>
    <w:p>
      <w:pPr>
        <w:pStyle w:val="24"/>
        <w:framePr/>
        <w:ind w:firstLine="833"/>
      </w:pPr>
    </w:p>
    <w:p/>
    <w:p/>
    <w:p/>
    <w:p/>
    <w:p/>
    <w:p>
      <w:pPr>
        <w:pStyle w:val="28"/>
        <w:jc w:val="center"/>
      </w:pPr>
      <w:bookmarkStart w:id="1" w:name="_Toc3381574"/>
      <w:bookmarkStart w:id="2" w:name="_Toc3381521"/>
      <w:bookmarkStart w:id="3" w:name="_Toc3381498"/>
      <w:bookmarkStart w:id="4" w:name="_Toc3368348"/>
      <w:r>
        <w:rPr>
          <w:rFonts w:hint="eastAsia"/>
        </w:rPr>
        <w:t>前</w:t>
      </w:r>
      <w:r>
        <w:rPr>
          <w:rFonts w:hAnsi="黑体"/>
        </w:rPr>
        <w:t>  </w:t>
      </w:r>
      <w:r>
        <w:rPr>
          <w:rFonts w:hint="eastAsia"/>
        </w:rPr>
        <w:t>言</w:t>
      </w:r>
    </w:p>
    <w:bookmarkEnd w:id="1"/>
    <w:bookmarkEnd w:id="2"/>
    <w:bookmarkEnd w:id="3"/>
    <w:bookmarkEnd w:id="4"/>
    <w:p>
      <w:pPr>
        <w:pStyle w:val="27"/>
        <w:rPr>
          <w:rFonts w:hAnsi="宋体" w:eastAsia="宋体" w:cs="宋体"/>
        </w:rPr>
      </w:pPr>
      <w:bookmarkStart w:id="5" w:name="_Toc5004453"/>
      <w:r>
        <w:rPr>
          <w:rFonts w:hint="eastAsia" w:hAnsi="宋体" w:eastAsia="宋体" w:cs="宋体"/>
        </w:rPr>
        <w:t>本文件按照GB/T1.1-2020《标准化工作导则第1部分：标准化文件的结构和起草规则》的规定起草。</w:t>
      </w:r>
    </w:p>
    <w:p>
      <w:pPr>
        <w:ind w:firstLine="420" w:firstLineChars="200"/>
      </w:pPr>
      <w:r>
        <w:rPr>
          <w:rFonts w:hint="eastAsia"/>
        </w:rPr>
        <w:t>本文件由宝鸡市农业农村局提出并归口。</w:t>
      </w:r>
    </w:p>
    <w:p>
      <w:pPr>
        <w:pStyle w:val="27"/>
        <w:rPr>
          <w:rFonts w:hAnsi="宋体" w:eastAsia="宋体" w:cs="宋体"/>
        </w:rPr>
      </w:pPr>
      <w:r>
        <w:rPr>
          <w:rFonts w:hint="eastAsia" w:hAnsi="宋体" w:eastAsia="宋体" w:cs="宋体"/>
        </w:rPr>
        <w:t>本文件起草单位：宝鸡市农业科学研究院、西北农林科技大学、宝鸡市园艺技术工作站。</w:t>
      </w:r>
    </w:p>
    <w:p>
      <w:pPr>
        <w:pStyle w:val="27"/>
        <w:rPr>
          <w:rFonts w:hAnsi="宋体" w:eastAsia="宋体" w:cs="宋体"/>
        </w:rPr>
      </w:pPr>
      <w:r>
        <w:rPr>
          <w:rFonts w:hint="eastAsia" w:hAnsi="宋体" w:eastAsia="宋体" w:cs="宋体"/>
        </w:rPr>
        <w:t>本文件主要起草人：韩根锁、赵保平、李鸣雷、张志强、张锁良、张嫒、张文超、朱发、张海斌。</w:t>
      </w:r>
    </w:p>
    <w:p>
      <w:pPr>
        <w:pStyle w:val="27"/>
        <w:rPr>
          <w:rFonts w:hAnsi="宋体" w:eastAsia="宋体" w:cs="宋体"/>
        </w:rPr>
      </w:pPr>
      <w:r>
        <w:rPr>
          <w:rFonts w:hint="eastAsia" w:hAnsi="宋体" w:eastAsia="宋体" w:cs="宋体"/>
        </w:rPr>
        <w:t>本文件由宝鸡市农业科学研究院解释。</w:t>
      </w:r>
    </w:p>
    <w:p>
      <w:pPr>
        <w:pStyle w:val="27"/>
        <w:rPr>
          <w:rFonts w:hAnsi="宋体" w:eastAsia="宋体" w:cs="宋体"/>
        </w:rPr>
      </w:pPr>
      <w:r>
        <w:rPr>
          <w:rFonts w:hint="eastAsia" w:hAnsi="宋体" w:eastAsia="宋体" w:cs="宋体"/>
        </w:rPr>
        <w:t>本文件首次发布。</w:t>
      </w:r>
    </w:p>
    <w:bookmarkEnd w:id="5"/>
    <w:p>
      <w:pPr>
        <w:pStyle w:val="27"/>
        <w:rPr>
          <w:rFonts w:hAnsi="宋体" w:eastAsia="宋体" w:cs="宋体"/>
        </w:rPr>
      </w:pPr>
      <w:r>
        <w:rPr>
          <w:rFonts w:hint="eastAsia" w:hAnsi="宋体" w:eastAsia="宋体" w:cs="宋体"/>
        </w:rPr>
        <w:t>联系信息如下：</w:t>
      </w:r>
    </w:p>
    <w:p>
      <w:pPr>
        <w:pStyle w:val="27"/>
        <w:rPr>
          <w:rFonts w:hAnsi="宋体" w:eastAsia="宋体" w:cs="宋体"/>
        </w:rPr>
      </w:pPr>
      <w:r>
        <w:rPr>
          <w:rFonts w:hint="eastAsia" w:hAnsi="宋体" w:eastAsia="宋体" w:cs="宋体"/>
        </w:rPr>
        <w:t>单位：宝鸡市农业科学研究院</w:t>
      </w:r>
    </w:p>
    <w:p>
      <w:pPr>
        <w:pStyle w:val="27"/>
        <w:rPr>
          <w:rFonts w:hAnsi="宋体" w:eastAsia="宋体" w:cs="宋体"/>
        </w:rPr>
      </w:pPr>
      <w:r>
        <w:rPr>
          <w:rFonts w:hint="eastAsia" w:hAnsi="宋体" w:eastAsia="宋体" w:cs="宋体"/>
        </w:rPr>
        <w:t>电话：0917-8226708</w:t>
      </w:r>
    </w:p>
    <w:p>
      <w:pPr>
        <w:pStyle w:val="27"/>
        <w:rPr>
          <w:rFonts w:hAnsi="宋体" w:eastAsia="宋体" w:cs="宋体"/>
        </w:rPr>
      </w:pPr>
      <w:r>
        <w:rPr>
          <w:rFonts w:hint="eastAsia" w:hAnsi="宋体" w:eastAsia="宋体" w:cs="宋体"/>
        </w:rPr>
        <w:t>地址：宝鸡市岐山县朝阳路56号</w:t>
      </w:r>
    </w:p>
    <w:p>
      <w:pPr>
        <w:pStyle w:val="27"/>
        <w:rPr>
          <w:rFonts w:hAnsi="宋体" w:eastAsia="宋体" w:cs="宋体"/>
        </w:rPr>
      </w:pPr>
      <w:r>
        <w:rPr>
          <w:rFonts w:hint="eastAsia" w:hAnsi="宋体" w:eastAsia="宋体" w:cs="宋体"/>
        </w:rPr>
        <w:t>邮编：722499</w:t>
      </w:r>
    </w:p>
    <w:p>
      <w:pPr>
        <w:pStyle w:val="27"/>
        <w:rPr>
          <w:rFonts w:hAnsi="宋体" w:eastAsia="宋体" w:cs="宋体"/>
        </w:rPr>
      </w:pPr>
    </w:p>
    <w:p>
      <w:pPr>
        <w:pStyle w:val="27"/>
        <w:rPr>
          <w:rFonts w:hAnsi="宋体" w:eastAsia="宋体" w:cs="宋体"/>
        </w:rPr>
      </w:pPr>
    </w:p>
    <w:p>
      <w:pPr>
        <w:pStyle w:val="27"/>
        <w:rPr>
          <w:rFonts w:hAnsi="宋体" w:eastAsia="宋体" w:cs="宋体"/>
        </w:rPr>
      </w:pPr>
    </w:p>
    <w:p>
      <w:pPr>
        <w:pStyle w:val="27"/>
        <w:rPr>
          <w:rFonts w:hAnsi="宋体" w:eastAsia="宋体" w:cs="宋体"/>
        </w:rPr>
      </w:pPr>
    </w:p>
    <w:p>
      <w:pPr>
        <w:pStyle w:val="27"/>
        <w:rPr>
          <w:rFonts w:hAnsi="宋体" w:eastAsia="宋体" w:cs="宋体"/>
        </w:rPr>
      </w:pPr>
    </w:p>
    <w:p>
      <w:pPr>
        <w:pStyle w:val="27"/>
        <w:rPr>
          <w:rFonts w:hAnsi="宋体" w:eastAsia="宋体" w:cs="宋体"/>
        </w:rPr>
      </w:pPr>
    </w:p>
    <w:p>
      <w:pPr>
        <w:pStyle w:val="27"/>
        <w:rPr>
          <w:rFonts w:hAnsi="宋体" w:eastAsia="宋体" w:cs="宋体"/>
        </w:rPr>
      </w:pPr>
    </w:p>
    <w:p>
      <w:pPr>
        <w:pStyle w:val="27"/>
        <w:rPr>
          <w:rFonts w:hAnsi="宋体" w:eastAsia="宋体" w:cs="宋体"/>
        </w:rPr>
      </w:pPr>
    </w:p>
    <w:p>
      <w:pPr>
        <w:pStyle w:val="27"/>
        <w:rPr>
          <w:rFonts w:hAnsi="宋体" w:eastAsia="宋体" w:cs="宋体"/>
        </w:rPr>
      </w:pPr>
    </w:p>
    <w:p>
      <w:pPr>
        <w:pStyle w:val="27"/>
        <w:rPr>
          <w:rFonts w:hAnsi="宋体" w:eastAsia="宋体" w:cs="宋体"/>
        </w:rPr>
      </w:pPr>
    </w:p>
    <w:p>
      <w:pPr>
        <w:pStyle w:val="27"/>
        <w:rPr>
          <w:rFonts w:hAnsi="宋体" w:eastAsia="宋体" w:cs="宋体"/>
        </w:rPr>
      </w:pPr>
    </w:p>
    <w:p>
      <w:pPr>
        <w:pStyle w:val="27"/>
        <w:rPr>
          <w:rFonts w:hAnsi="宋体" w:eastAsia="宋体" w:cs="宋体"/>
        </w:rPr>
      </w:pPr>
    </w:p>
    <w:p>
      <w:pPr>
        <w:pStyle w:val="27"/>
        <w:rPr>
          <w:rFonts w:hAnsi="宋体" w:eastAsia="宋体" w:cs="宋体"/>
        </w:rPr>
      </w:pPr>
    </w:p>
    <w:p>
      <w:pPr>
        <w:pStyle w:val="27"/>
        <w:rPr>
          <w:rFonts w:hAnsi="宋体" w:eastAsia="宋体" w:cs="宋体"/>
        </w:rPr>
      </w:pPr>
    </w:p>
    <w:p>
      <w:pPr>
        <w:pStyle w:val="27"/>
        <w:rPr>
          <w:rFonts w:hAnsi="宋体" w:eastAsia="宋体" w:cs="宋体"/>
        </w:rPr>
      </w:pPr>
    </w:p>
    <w:p>
      <w:pPr>
        <w:pStyle w:val="27"/>
        <w:rPr>
          <w:rFonts w:hAnsi="宋体" w:eastAsia="宋体" w:cs="宋体"/>
        </w:rPr>
      </w:pPr>
    </w:p>
    <w:p>
      <w:pPr>
        <w:pStyle w:val="27"/>
        <w:rPr>
          <w:rFonts w:hAnsi="宋体" w:eastAsia="宋体" w:cs="宋体"/>
        </w:rPr>
      </w:pPr>
    </w:p>
    <w:p>
      <w:pPr>
        <w:pStyle w:val="27"/>
        <w:rPr>
          <w:rFonts w:hAnsi="宋体" w:eastAsia="宋体" w:cs="宋体"/>
        </w:rPr>
      </w:pPr>
    </w:p>
    <w:p>
      <w:pPr>
        <w:pStyle w:val="27"/>
        <w:rPr>
          <w:rFonts w:hAnsi="宋体" w:eastAsia="宋体" w:cs="宋体"/>
        </w:rPr>
      </w:pPr>
    </w:p>
    <w:p>
      <w:pPr>
        <w:pStyle w:val="27"/>
        <w:rPr>
          <w:rFonts w:hAnsi="宋体" w:eastAsia="宋体" w:cs="宋体"/>
        </w:rPr>
      </w:pPr>
    </w:p>
    <w:p>
      <w:pPr>
        <w:pStyle w:val="27"/>
        <w:rPr>
          <w:rFonts w:hAnsi="宋体" w:eastAsia="宋体" w:cs="宋体"/>
        </w:rPr>
      </w:pPr>
    </w:p>
    <w:p>
      <w:pPr>
        <w:pStyle w:val="27"/>
        <w:rPr>
          <w:rFonts w:hAnsi="宋体" w:eastAsia="宋体" w:cs="宋体"/>
        </w:rPr>
      </w:pPr>
    </w:p>
    <w:p>
      <w:pPr>
        <w:pStyle w:val="27"/>
        <w:rPr>
          <w:rFonts w:hAnsi="宋体" w:eastAsia="宋体" w:cs="宋体"/>
        </w:rPr>
      </w:pPr>
    </w:p>
    <w:p>
      <w:pPr>
        <w:pStyle w:val="27"/>
        <w:ind w:firstLine="0" w:firstLineChars="0"/>
        <w:jc w:val="center"/>
        <w:rPr>
          <w:rFonts w:hint="eastAsia" w:ascii="黑体" w:hAnsi="黑体" w:eastAsia="黑体" w:cs="黑体"/>
          <w:sz w:val="28"/>
          <w:szCs w:val="28"/>
        </w:rPr>
      </w:pPr>
    </w:p>
    <w:p>
      <w:pPr>
        <w:pStyle w:val="27"/>
        <w:ind w:firstLine="0" w:firstLineChars="0"/>
        <w:jc w:val="center"/>
        <w:rPr>
          <w:rFonts w:ascii="Times New Roman" w:eastAsia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猕猴桃园覆土栽培香菇技术规范</w:t>
      </w:r>
    </w:p>
    <w:p>
      <w:pPr>
        <w:pStyle w:val="30"/>
        <w:numPr>
          <w:ilvl w:val="0"/>
          <w:numId w:val="1"/>
        </w:numPr>
        <w:spacing w:before="312" w:after="312"/>
        <w:rPr>
          <w:rFonts w:ascii="Times New Roman"/>
          <w:color w:val="000000"/>
          <w:szCs w:val="21"/>
        </w:rPr>
      </w:pPr>
      <w:r>
        <w:rPr>
          <w:rFonts w:ascii="Times New Roman"/>
          <w:color w:val="000000"/>
          <w:szCs w:val="21"/>
        </w:rPr>
        <w:t>范围</w:t>
      </w:r>
    </w:p>
    <w:p>
      <w:pPr>
        <w:pStyle w:val="27"/>
        <w:spacing w:line="360" w:lineRule="auto"/>
        <w:rPr>
          <w:rFonts w:hint="eastAsia"/>
        </w:rPr>
      </w:pPr>
      <w:r>
        <w:rPr>
          <w:rFonts w:hint="eastAsia"/>
        </w:rPr>
        <w:t>本文件规定了猕猴桃园覆土栽培香菇产地环境、菌棒生产、覆土前准备、排棒覆土、覆土后管理、采收和档案管理的要求。</w:t>
      </w:r>
    </w:p>
    <w:p>
      <w:pPr>
        <w:pStyle w:val="27"/>
        <w:spacing w:line="360" w:lineRule="auto"/>
      </w:pPr>
      <w:r>
        <w:rPr>
          <w:rFonts w:hint="eastAsia"/>
        </w:rPr>
        <w:t>本文件适用于猕猴桃园香菇覆土栽培。</w:t>
      </w:r>
    </w:p>
    <w:p>
      <w:pPr>
        <w:pStyle w:val="30"/>
        <w:numPr>
          <w:ilvl w:val="0"/>
          <w:numId w:val="1"/>
        </w:numPr>
        <w:spacing w:before="312" w:after="312"/>
        <w:rPr>
          <w:rFonts w:ascii="Times New Roman"/>
          <w:color w:val="000000"/>
          <w:szCs w:val="21"/>
        </w:rPr>
      </w:pPr>
      <w:r>
        <w:rPr>
          <w:rFonts w:ascii="Times New Roman"/>
          <w:color w:val="000000"/>
          <w:szCs w:val="21"/>
        </w:rPr>
        <w:t>规范性引用文件</w:t>
      </w:r>
    </w:p>
    <w:p>
      <w:pPr>
        <w:pStyle w:val="27"/>
        <w:spacing w:line="360" w:lineRule="auto"/>
      </w:pPr>
      <w:r>
        <w:rPr>
          <w:rFonts w:hint="eastAsia"/>
        </w:rPr>
        <w:t>下列文件的内容通过文中的规范性引用而构成本文件必不可少条款。其中，注日期的引用文件，仅该日期对应的版本适用于本文；不注日期的引用文件，其最新版本（包括所有修改单）适用于本文件。</w:t>
      </w:r>
    </w:p>
    <w:p>
      <w:pPr>
        <w:pStyle w:val="27"/>
        <w:spacing w:line="360" w:lineRule="auto"/>
      </w:pPr>
      <w:r>
        <w:rPr>
          <w:rFonts w:hint="eastAsia"/>
        </w:rPr>
        <w:t>GB 3095 环境空气质量标准</w:t>
      </w:r>
    </w:p>
    <w:p>
      <w:pPr>
        <w:pStyle w:val="27"/>
        <w:spacing w:line="360" w:lineRule="auto"/>
      </w:pPr>
      <w:r>
        <w:rPr>
          <w:rFonts w:hint="eastAsia"/>
        </w:rPr>
        <w:t>GB 4806.7 食品安全国家标准 食品接触用塑料材料及制品</w:t>
      </w:r>
    </w:p>
    <w:p>
      <w:pPr>
        <w:pStyle w:val="27"/>
        <w:spacing w:line="360" w:lineRule="auto"/>
      </w:pPr>
      <w:r>
        <w:rPr>
          <w:rFonts w:hint="eastAsia"/>
        </w:rPr>
        <w:t>GB 5483 天然石膏</w:t>
      </w:r>
    </w:p>
    <w:p>
      <w:pPr>
        <w:pStyle w:val="27"/>
        <w:spacing w:line="360" w:lineRule="auto"/>
      </w:pPr>
      <w:r>
        <w:rPr>
          <w:rFonts w:hint="eastAsia"/>
        </w:rPr>
        <w:t>GB 5749 生活饮用水卫生标准</w:t>
      </w:r>
    </w:p>
    <w:p>
      <w:pPr>
        <w:pStyle w:val="27"/>
        <w:spacing w:line="360" w:lineRule="auto"/>
      </w:pPr>
      <w:r>
        <w:rPr>
          <w:rFonts w:hint="eastAsia"/>
        </w:rPr>
        <w:t>GB 15979 一次性使用卫生用品卫生标准</w:t>
      </w:r>
    </w:p>
    <w:p>
      <w:pPr>
        <w:pStyle w:val="27"/>
        <w:spacing w:line="360" w:lineRule="auto"/>
        <w:rPr>
          <w:rFonts w:hint="eastAsia"/>
        </w:rPr>
      </w:pPr>
      <w:r>
        <w:fldChar w:fldCharType="begin"/>
      </w:r>
      <w:r>
        <w:instrText xml:space="preserve"> HYPERLINK "https://www.baidu.com/link?url=ZFeGoPMLZbmU76JxmQyHI3m4mTAdMtmyugo8nvGrhfZtU7X_K8bV7pWl51RUY1gNE_XeCnSfLCoplAcy_nuLO_&amp;wd=&amp;eqid=af9dcd4200027bf4000000065fd8a979" \t "_blank" </w:instrText>
      </w:r>
      <w:r>
        <w:fldChar w:fldCharType="separate"/>
      </w:r>
      <w:r>
        <w:rPr>
          <w:rFonts w:hint="eastAsia"/>
        </w:rPr>
        <w:t>GB 19170 香菇菌种</w:t>
      </w:r>
      <w:r>
        <w:rPr>
          <w:rFonts w:hint="eastAsia"/>
        </w:rPr>
        <w:fldChar w:fldCharType="end"/>
      </w:r>
    </w:p>
    <w:p>
      <w:pPr>
        <w:pStyle w:val="27"/>
        <w:spacing w:line="360" w:lineRule="auto"/>
      </w:pPr>
      <w:r>
        <w:rPr>
          <w:rFonts w:hint="eastAsia"/>
        </w:rPr>
        <w:t>GB 26373 乙醇消毒剂卫生标准</w:t>
      </w:r>
    </w:p>
    <w:p>
      <w:pPr>
        <w:pStyle w:val="27"/>
        <w:spacing w:line="360" w:lineRule="auto"/>
        <w:rPr>
          <w:rFonts w:hint="eastAsia"/>
        </w:rPr>
      </w:pPr>
      <w:r>
        <w:rPr>
          <w:rFonts w:hint="eastAsia"/>
        </w:rPr>
        <w:t>NY 5099 食用菌栽培基质安全技术要求</w:t>
      </w:r>
    </w:p>
    <w:p>
      <w:pPr>
        <w:pStyle w:val="27"/>
        <w:spacing w:line="360" w:lineRule="auto"/>
        <w:rPr>
          <w:rFonts w:hint="default"/>
          <w:lang w:val="en-US" w:eastAsia="zh-CN"/>
        </w:rPr>
      </w:pPr>
      <w:r>
        <w:rPr>
          <w:rFonts w:hint="eastAsia"/>
        </w:rPr>
        <w:t>NY/T 3627</w:t>
      </w:r>
      <w:r>
        <w:rPr>
          <w:rFonts w:hint="eastAsia"/>
          <w:lang w:val="en-US" w:eastAsia="zh-CN"/>
        </w:rPr>
        <w:t xml:space="preserve"> 香菇菌棒集约化生产技术规程</w:t>
      </w:r>
    </w:p>
    <w:p>
      <w:pPr>
        <w:pStyle w:val="27"/>
        <w:spacing w:line="360" w:lineRule="auto"/>
        <w:rPr>
          <w:rFonts w:hint="eastAsia"/>
        </w:rPr>
      </w:pPr>
      <w:r>
        <w:rPr>
          <w:rFonts w:hint="eastAsia"/>
        </w:rPr>
        <w:t>WS 628  消毒产品卫生安全评价技术要求</w:t>
      </w:r>
    </w:p>
    <w:p>
      <w:pPr>
        <w:pStyle w:val="27"/>
        <w:spacing w:line="360" w:lineRule="auto"/>
        <w:rPr>
          <w:rFonts w:hint="eastAsia"/>
        </w:rPr>
      </w:pPr>
      <w:r>
        <w:rPr>
          <w:rFonts w:hint="eastAsia"/>
        </w:rPr>
        <w:t>DB</w:t>
      </w:r>
      <w:r>
        <w:rPr>
          <w:rFonts w:hint="eastAsia"/>
          <w:lang w:val="en-US" w:eastAsia="zh-CN"/>
        </w:rPr>
        <w:t xml:space="preserve"> 61</w:t>
      </w:r>
      <w:r>
        <w:rPr>
          <w:rFonts w:hint="eastAsia"/>
        </w:rPr>
        <w:t>/</w:t>
      </w:r>
      <w:r>
        <w:rPr>
          <w:rFonts w:hint="eastAsia"/>
          <w:lang w:val="en-US" w:eastAsia="zh-CN"/>
        </w:rPr>
        <w:t xml:space="preserve">T </w:t>
      </w:r>
      <w:r>
        <w:rPr>
          <w:rFonts w:hint="eastAsia"/>
        </w:rPr>
        <w:t>1395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设施香菇生产</w:t>
      </w:r>
    </w:p>
    <w:p>
      <w:pPr>
        <w:pStyle w:val="30"/>
        <w:numPr>
          <w:ilvl w:val="0"/>
          <w:numId w:val="1"/>
        </w:numPr>
        <w:spacing w:before="312" w:after="312"/>
        <w:rPr>
          <w:rFonts w:ascii="Times New Roman"/>
          <w:color w:val="000000"/>
          <w:szCs w:val="21"/>
        </w:rPr>
      </w:pPr>
      <w:r>
        <w:rPr>
          <w:rFonts w:ascii="Times New Roman"/>
          <w:color w:val="000000"/>
          <w:szCs w:val="21"/>
        </w:rPr>
        <w:t>术语和定义</w:t>
      </w:r>
    </w:p>
    <w:p>
      <w:pPr>
        <w:pStyle w:val="30"/>
        <w:numPr>
          <w:ilvl w:val="255"/>
          <w:numId w:val="0"/>
        </w:numPr>
        <w:spacing w:before="312" w:after="312"/>
        <w:ind w:firstLine="420" w:firstLineChars="200"/>
        <w:rPr>
          <w:rFonts w:ascii="宋体" w:hAnsiTheme="minorHAnsi" w:eastAsiaTheme="minorEastAsia" w:cstheme="minorBidi"/>
          <w:kern w:val="2"/>
          <w:szCs w:val="22"/>
        </w:rPr>
      </w:pPr>
      <w:r>
        <w:rPr>
          <w:rFonts w:hint="eastAsia" w:ascii="宋体" w:hAnsiTheme="minorHAnsi" w:eastAsiaTheme="minorEastAsia" w:cstheme="minorBidi"/>
          <w:kern w:val="2"/>
          <w:szCs w:val="22"/>
        </w:rPr>
        <w:t>下列术语和定义适用于本文件。</w:t>
      </w:r>
    </w:p>
    <w:p>
      <w:pPr>
        <w:pStyle w:val="29"/>
        <w:numPr>
          <w:ilvl w:val="1"/>
          <w:numId w:val="1"/>
        </w:numPr>
        <w:spacing w:before="156" w:after="156"/>
        <w:rPr>
          <w:rFonts w:ascii="Times New Roman" w:hAnsiTheme="minorHAnsi" w:eastAsiaTheme="minorEastAsia" w:cstheme="minorBidi"/>
          <w:kern w:val="2"/>
        </w:rPr>
      </w:pPr>
    </w:p>
    <w:p>
      <w:pPr>
        <w:pStyle w:val="29"/>
        <w:spacing w:before="156" w:after="156"/>
        <w:ind w:left="0" w:firstLine="210" w:firstLineChars="100"/>
        <w:rPr>
          <w:rFonts w:hint="eastAsia" w:ascii="Times New Roman"/>
          <w:color w:val="000000"/>
        </w:rPr>
      </w:pPr>
      <w:r>
        <w:rPr>
          <w:rFonts w:hint="eastAsia" w:ascii="Times New Roman"/>
          <w:color w:val="000000"/>
        </w:rPr>
        <w:t>菌棒</w:t>
      </w:r>
    </w:p>
    <w:p>
      <w:pPr>
        <w:pStyle w:val="29"/>
        <w:spacing w:before="156" w:after="156"/>
        <w:ind w:left="0" w:firstLine="210" w:firstLineChars="100"/>
        <w:rPr>
          <w:rFonts w:hint="default" w:ascii="Times New Roman" w:eastAsia="黑体"/>
          <w:color w:val="000000"/>
          <w:lang w:val="en-US" w:eastAsia="zh-CN"/>
        </w:rPr>
      </w:pPr>
      <w:r>
        <w:rPr>
          <w:rFonts w:hint="eastAsia" w:ascii="Times New Roman"/>
          <w:color w:val="000000"/>
          <w:lang w:val="en-US" w:eastAsia="zh-CN"/>
        </w:rPr>
        <w:t>料棒接种后长有菌丝的棒状体，也称菌筒，人造菇木。</w:t>
      </w:r>
    </w:p>
    <w:p>
      <w:pPr>
        <w:pStyle w:val="29"/>
        <w:spacing w:before="156" w:after="156"/>
        <w:ind w:left="0" w:firstLine="210" w:firstLineChars="100"/>
        <w:rPr>
          <w:rFonts w:hint="eastAsia" w:ascii="Times New Roman"/>
          <w:color w:val="000000"/>
          <w:lang w:val="en-US" w:eastAsia="zh-CN"/>
        </w:rPr>
      </w:pPr>
      <w:r>
        <w:rPr>
          <w:rFonts w:hint="eastAsia" w:ascii="Times New Roman"/>
          <w:color w:val="000000"/>
          <w:lang w:val="en-US" w:eastAsia="zh-CN"/>
        </w:rPr>
        <w:t>（参照NY/T 3627）</w:t>
      </w:r>
    </w:p>
    <w:p>
      <w:pPr>
        <w:pStyle w:val="29"/>
        <w:numPr>
          <w:ilvl w:val="1"/>
          <w:numId w:val="1"/>
        </w:numPr>
        <w:spacing w:before="156" w:after="156"/>
        <w:rPr>
          <w:rFonts w:ascii="Times New Roman" w:hAnsiTheme="minorHAnsi" w:eastAsiaTheme="minorEastAsia" w:cstheme="minorBidi"/>
          <w:kern w:val="2"/>
        </w:rPr>
      </w:pPr>
    </w:p>
    <w:p>
      <w:pPr>
        <w:pStyle w:val="29"/>
        <w:spacing w:before="156" w:after="156"/>
        <w:ind w:left="0" w:firstLine="210" w:firstLineChars="100"/>
        <w:rPr>
          <w:rFonts w:ascii="Times New Roman" w:hAnsiTheme="minorHAnsi" w:eastAsiaTheme="minorEastAsia" w:cstheme="minorBidi"/>
          <w:kern w:val="2"/>
        </w:rPr>
      </w:pPr>
      <w:r>
        <w:rPr>
          <w:rFonts w:hint="eastAsia" w:hAnsi="黑体" w:cs="黑体"/>
          <w:color w:val="000000"/>
        </w:rPr>
        <w:t>覆土栽培</w:t>
      </w:r>
    </w:p>
    <w:p>
      <w:pPr>
        <w:pStyle w:val="29"/>
        <w:spacing w:before="156" w:after="156"/>
        <w:ind w:left="0" w:leftChars="0" w:firstLine="210" w:firstLineChars="100"/>
        <w:rPr>
          <w:rFonts w:ascii="Times New Roman" w:hAnsiTheme="minorHAnsi" w:eastAsiaTheme="minorEastAsia" w:cstheme="minorBidi"/>
          <w:kern w:val="2"/>
        </w:rPr>
      </w:pPr>
      <w:r>
        <w:rPr>
          <w:rFonts w:hint="eastAsia" w:ascii="Times New Roman" w:hAnsiTheme="minorHAnsi" w:eastAsiaTheme="minorEastAsia" w:cstheme="minorBidi"/>
          <w:kern w:val="2"/>
        </w:rPr>
        <w:t>在园内建畦、开沟、排棒、盖土的栽培方式。</w:t>
      </w:r>
    </w:p>
    <w:p>
      <w:pPr>
        <w:pStyle w:val="30"/>
        <w:numPr>
          <w:ilvl w:val="0"/>
          <w:numId w:val="1"/>
        </w:numPr>
        <w:spacing w:before="312" w:after="312"/>
        <w:rPr>
          <w:color w:val="000000" w:themeColor="text1"/>
        </w:rPr>
      </w:pPr>
      <w:r>
        <w:rPr>
          <w:rFonts w:ascii="Times New Roman"/>
          <w:color w:val="000000"/>
          <w:szCs w:val="21"/>
        </w:rPr>
        <w:t>产地环境</w:t>
      </w:r>
      <w:r>
        <w:rPr>
          <w:rFonts w:hint="eastAsia" w:ascii="Times New Roman"/>
          <w:color w:val="000000"/>
          <w:szCs w:val="21"/>
        </w:rPr>
        <w:t xml:space="preserve"> </w:t>
      </w:r>
    </w:p>
    <w:p>
      <w:pPr>
        <w:pStyle w:val="30"/>
        <w:spacing w:before="312" w:after="312"/>
        <w:ind w:left="0" w:firstLine="420" w:firstLineChars="200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应菇场应选择阳光充足、交通便利、有洁净水源、排灌方便、生态条件良好的地块，菇场5 km范围内无工矿企业污染源，3 km范围内无酱曲场、畜牧场、生活垃圾堆放和填埋场、工业固体废弃物堆放和填埋场。符合 DB 61/T 1395. 3的要求。</w:t>
      </w:r>
    </w:p>
    <w:p>
      <w:pPr>
        <w:pStyle w:val="27"/>
        <w:spacing w:line="360" w:lineRule="auto"/>
        <w:ind w:left="0" w:leftChars="0" w:firstLine="0" w:firstLineChars="0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/>
        </w:rPr>
        <w:t>5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菌棒生产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（参照NY/T 3627  DB61/T 1395）</w:t>
      </w:r>
    </w:p>
    <w:p>
      <w:pPr>
        <w:pStyle w:val="29"/>
        <w:spacing w:before="156" w:after="156"/>
        <w:ind w:left="0" w:firstLine="0"/>
        <w:rPr>
          <w:rFonts w:ascii="Times New Roman"/>
        </w:rPr>
      </w:pPr>
      <w:r>
        <w:rPr>
          <w:rFonts w:hint="eastAsia" w:ascii="Times New Roman"/>
          <w:color w:val="000000"/>
        </w:rPr>
        <w:t>5.1茬口安排</w:t>
      </w:r>
    </w:p>
    <w:p>
      <w:pPr>
        <w:pStyle w:val="27"/>
        <w:spacing w:line="360" w:lineRule="auto"/>
        <w:rPr>
          <w:rFonts w:hAnsi="宋体" w:eastAsia="宋体" w:cs="宋体"/>
          <w:szCs w:val="21"/>
        </w:rPr>
      </w:pPr>
      <w:r>
        <w:rPr>
          <w:rFonts w:hAnsi="宋体" w:eastAsia="宋体" w:cs="宋体"/>
          <w:szCs w:val="21"/>
        </w:rPr>
        <w:t>12月</w:t>
      </w:r>
      <w:r>
        <w:rPr>
          <w:rFonts w:hint="eastAsia" w:hAnsi="宋体" w:eastAsia="宋体" w:cs="宋体"/>
          <w:szCs w:val="21"/>
        </w:rPr>
        <w:t>～翌年</w:t>
      </w:r>
      <w:r>
        <w:rPr>
          <w:rFonts w:hAnsi="宋体" w:eastAsia="宋体" w:cs="宋体"/>
          <w:szCs w:val="21"/>
        </w:rPr>
        <w:t>2</w:t>
      </w:r>
      <w:r>
        <w:rPr>
          <w:rFonts w:hint="eastAsia" w:hAnsi="宋体" w:eastAsia="宋体" w:cs="宋体"/>
          <w:szCs w:val="21"/>
        </w:rPr>
        <w:t>月制袋，</w:t>
      </w:r>
      <w:r>
        <w:rPr>
          <w:rFonts w:hAnsi="宋体" w:eastAsia="宋体" w:cs="宋体"/>
          <w:szCs w:val="21"/>
        </w:rPr>
        <w:t>6月</w:t>
      </w:r>
      <w:r>
        <w:rPr>
          <w:rFonts w:hint="eastAsia" w:hAnsi="宋体" w:eastAsia="宋体" w:cs="宋体"/>
          <w:szCs w:val="21"/>
        </w:rPr>
        <w:t>～8月出菇，选择</w:t>
      </w:r>
      <w:r>
        <w:rPr>
          <w:rFonts w:hAnsi="宋体" w:eastAsia="宋体" w:cs="宋体"/>
          <w:color w:val="000000" w:themeColor="text1"/>
          <w:szCs w:val="21"/>
        </w:rPr>
        <w:t>中高温品种</w:t>
      </w:r>
      <w:r>
        <w:rPr>
          <w:rFonts w:hint="eastAsia" w:hAnsi="宋体" w:eastAsia="宋体" w:cs="宋体"/>
          <w:color w:val="000000" w:themeColor="text1"/>
          <w:szCs w:val="21"/>
        </w:rPr>
        <w:t>，</w:t>
      </w:r>
      <w:r>
        <w:rPr>
          <w:rFonts w:hAnsi="宋体" w:eastAsia="宋体" w:cs="宋体"/>
          <w:color w:val="000000" w:themeColor="text1"/>
          <w:szCs w:val="21"/>
        </w:rPr>
        <w:t>出菇温度15℃～33℃</w:t>
      </w:r>
      <w:r>
        <w:rPr>
          <w:rFonts w:hint="eastAsia" w:hAnsi="宋体" w:eastAsia="宋体" w:cs="宋体"/>
          <w:color w:val="000000" w:themeColor="text1"/>
          <w:szCs w:val="21"/>
        </w:rPr>
        <w:t>。</w:t>
      </w:r>
    </w:p>
    <w:p>
      <w:pPr>
        <w:pStyle w:val="29"/>
        <w:spacing w:before="156" w:after="156" w:line="360" w:lineRule="auto"/>
        <w:ind w:left="0" w:firstLine="0"/>
        <w:rPr>
          <w:rFonts w:ascii="Times New Roman"/>
          <w:color w:val="000000"/>
        </w:rPr>
      </w:pPr>
      <w:r>
        <w:rPr>
          <w:rFonts w:hint="eastAsia" w:hAnsi="黑体"/>
          <w:color w:val="000000"/>
        </w:rPr>
        <w:t xml:space="preserve">5.2 </w:t>
      </w:r>
      <w:r>
        <w:rPr>
          <w:rFonts w:hint="eastAsia" w:ascii="Times New Roman"/>
          <w:color w:val="000000"/>
        </w:rPr>
        <w:t>原料选择及配制</w:t>
      </w:r>
    </w:p>
    <w:p>
      <w:r>
        <w:rPr>
          <w:rFonts w:hint="eastAsia"/>
        </w:rPr>
        <w:t>5.2.1 原料选择</w:t>
      </w:r>
    </w:p>
    <w:p>
      <w:pPr>
        <w:pStyle w:val="27"/>
        <w:spacing w:line="360" w:lineRule="auto"/>
        <w:rPr>
          <w:rFonts w:hAnsi="宋体" w:eastAsia="宋体" w:cs="宋体"/>
          <w:szCs w:val="21"/>
        </w:rPr>
      </w:pPr>
      <w:r>
        <w:rPr>
          <w:rFonts w:hAnsi="宋体" w:eastAsia="宋体" w:cs="宋体"/>
          <w:szCs w:val="21"/>
        </w:rPr>
        <w:t>以阔叶树种硬杂木屑为主</w:t>
      </w:r>
      <w:r>
        <w:rPr>
          <w:rFonts w:hint="eastAsia" w:hAnsi="宋体" w:eastAsia="宋体" w:cs="宋体"/>
          <w:szCs w:val="21"/>
        </w:rPr>
        <w:t>，</w:t>
      </w:r>
      <w:r>
        <w:rPr>
          <w:rFonts w:hAnsi="宋体" w:eastAsia="宋体" w:cs="宋体"/>
          <w:szCs w:val="21"/>
        </w:rPr>
        <w:t>辅料</w:t>
      </w:r>
      <w:r>
        <w:rPr>
          <w:rFonts w:hint="eastAsia" w:hAnsi="宋体" w:eastAsia="宋体" w:cs="宋体"/>
          <w:szCs w:val="21"/>
        </w:rPr>
        <w:t>有</w:t>
      </w:r>
      <w:r>
        <w:rPr>
          <w:rFonts w:hAnsi="宋体" w:eastAsia="宋体" w:cs="宋体"/>
          <w:szCs w:val="21"/>
        </w:rPr>
        <w:t>石膏、麸皮、蔗糖</w:t>
      </w:r>
      <w:r>
        <w:rPr>
          <w:rFonts w:hint="eastAsia" w:hAnsi="宋体" w:eastAsia="宋体" w:cs="宋体"/>
          <w:szCs w:val="21"/>
        </w:rPr>
        <w:t>等</w:t>
      </w:r>
      <w:r>
        <w:rPr>
          <w:rFonts w:hAnsi="宋体" w:eastAsia="宋体" w:cs="宋体"/>
          <w:szCs w:val="21"/>
        </w:rPr>
        <w:t>。</w:t>
      </w:r>
    </w:p>
    <w:p>
      <w:pPr>
        <w:pStyle w:val="27"/>
        <w:spacing w:line="360" w:lineRule="auto"/>
        <w:ind w:firstLine="0" w:firstLineChars="0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 xml:space="preserve">5.2.2 </w:t>
      </w:r>
      <w:r>
        <w:rPr>
          <w:rFonts w:hint="eastAsia" w:hAnsi="黑体" w:cs="黑体"/>
          <w:color w:val="000000"/>
        </w:rPr>
        <w:t>质量要求</w:t>
      </w:r>
      <w:r>
        <w:rPr>
          <w:rFonts w:hint="eastAsia" w:ascii="黑体" w:hAnsi="黑体" w:eastAsia="黑体" w:cs="黑体"/>
          <w:szCs w:val="21"/>
        </w:rPr>
        <w:t xml:space="preserve"> </w:t>
      </w:r>
    </w:p>
    <w:p>
      <w:pPr>
        <w:pStyle w:val="27"/>
        <w:spacing w:line="360" w:lineRule="auto"/>
        <w:rPr>
          <w:rFonts w:ascii="黑体" w:hAnsi="黑体" w:eastAsia="黑体" w:cs="黑体"/>
          <w:szCs w:val="21"/>
        </w:rPr>
      </w:pPr>
      <w:r>
        <w:rPr>
          <w:rFonts w:hint="eastAsia" w:hAnsi="宋体" w:eastAsia="宋体" w:cs="宋体"/>
          <w:szCs w:val="21"/>
        </w:rPr>
        <w:t>木屑大小长宽分别为0.5cm～1.5cm，木屑、麸皮应新鲜、无杂质、干燥、无虫、无霉变、质量应符合NY 5099的要求。石膏粉，质量应符合GB5483。</w:t>
      </w:r>
    </w:p>
    <w:p>
      <w:r>
        <w:rPr>
          <w:rFonts w:hint="eastAsia"/>
        </w:rPr>
        <w:t>5.2.3 配料</w:t>
      </w:r>
    </w:p>
    <w:p>
      <w:pPr>
        <w:pStyle w:val="27"/>
        <w:spacing w:line="360" w:lineRule="auto"/>
        <w:rPr>
          <w:rFonts w:hAnsi="宋体" w:eastAsia="宋体" w:cs="宋体"/>
          <w:szCs w:val="21"/>
        </w:rPr>
      </w:pPr>
      <w:r>
        <w:rPr>
          <w:rFonts w:hAnsi="宋体" w:eastAsia="宋体" w:cs="宋体"/>
          <w:szCs w:val="21"/>
        </w:rPr>
        <w:t>阔叶杂木屑78%、麦麸20%、石膏粉1%、蔗糖1%。</w:t>
      </w:r>
    </w:p>
    <w:p>
      <w:r>
        <w:rPr>
          <w:rFonts w:hint="eastAsia"/>
        </w:rPr>
        <w:t>5.2. 4配制</w:t>
      </w:r>
    </w:p>
    <w:p>
      <w:pPr>
        <w:pStyle w:val="27"/>
        <w:spacing w:line="360" w:lineRule="auto"/>
        <w:rPr>
          <w:rFonts w:hAnsi="宋体" w:eastAsia="宋体" w:cs="宋体"/>
          <w:szCs w:val="21"/>
        </w:rPr>
      </w:pPr>
      <w:r>
        <w:rPr>
          <w:rFonts w:hAnsi="宋体" w:eastAsia="宋体" w:cs="宋体"/>
          <w:szCs w:val="21"/>
        </w:rPr>
        <w:t>拌料均匀，水分55%～</w:t>
      </w:r>
      <w:r>
        <w:rPr>
          <w:rFonts w:hint="eastAsia" w:hAnsi="宋体" w:eastAsia="宋体" w:cs="宋体"/>
          <w:szCs w:val="21"/>
          <w:lang w:val="en-US" w:eastAsia="zh-CN"/>
        </w:rPr>
        <w:t>58</w:t>
      </w:r>
      <w:r>
        <w:rPr>
          <w:rFonts w:hAnsi="宋体" w:eastAsia="宋体" w:cs="宋体"/>
          <w:szCs w:val="21"/>
        </w:rPr>
        <w:t>%，pH值</w:t>
      </w:r>
      <w:r>
        <w:rPr>
          <w:rFonts w:hint="eastAsia" w:hAnsi="宋体" w:eastAsia="宋体" w:cs="宋体"/>
          <w:szCs w:val="21"/>
          <w:lang w:val="en-US" w:eastAsia="zh-CN"/>
        </w:rPr>
        <w:t>6.0</w:t>
      </w:r>
      <w:r>
        <w:rPr>
          <w:rFonts w:hAnsi="宋体" w:eastAsia="宋体" w:cs="宋体"/>
          <w:szCs w:val="21"/>
        </w:rPr>
        <w:t>～</w:t>
      </w:r>
      <w:r>
        <w:rPr>
          <w:rFonts w:hint="eastAsia" w:hAnsi="宋体" w:eastAsia="宋体" w:cs="宋体"/>
          <w:szCs w:val="21"/>
          <w:lang w:val="en-US" w:eastAsia="zh-CN"/>
        </w:rPr>
        <w:t>7.0</w:t>
      </w:r>
      <w:r>
        <w:rPr>
          <w:rFonts w:hAnsi="宋体" w:eastAsia="宋体" w:cs="宋体"/>
          <w:szCs w:val="21"/>
        </w:rPr>
        <w:t>。</w:t>
      </w:r>
    </w:p>
    <w:p>
      <w:pPr>
        <w:pStyle w:val="29"/>
        <w:spacing w:before="156" w:after="156"/>
        <w:ind w:left="0" w:firstLine="0"/>
        <w:rPr>
          <w:rFonts w:hAnsi="黑体" w:cs="黑体"/>
          <w:color w:val="000000"/>
        </w:rPr>
      </w:pPr>
      <w:r>
        <w:rPr>
          <w:rFonts w:hint="eastAsia" w:hAnsi="黑体" w:cs="黑体"/>
          <w:color w:val="000000"/>
        </w:rPr>
        <w:t>5.3 装袋</w:t>
      </w:r>
    </w:p>
    <w:p>
      <w:pPr>
        <w:pStyle w:val="27"/>
        <w:spacing w:line="360" w:lineRule="auto"/>
        <w:rPr>
          <w:rFonts w:hAnsi="宋体" w:eastAsia="宋体" w:cs="宋体"/>
          <w:szCs w:val="21"/>
        </w:rPr>
      </w:pPr>
      <w:r>
        <w:rPr>
          <w:rFonts w:hint="eastAsia" w:hAnsi="宋体" w:eastAsia="宋体" w:cs="宋体"/>
          <w:szCs w:val="21"/>
        </w:rPr>
        <w:t>采用15 cm</w:t>
      </w:r>
      <w:r>
        <w:rPr>
          <w:rFonts w:hAnsi="宋体" w:eastAsia="宋体" w:cs="宋体"/>
          <w:szCs w:val="21"/>
        </w:rPr>
        <w:t>～</w:t>
      </w:r>
      <w:r>
        <w:rPr>
          <w:rFonts w:hint="eastAsia" w:hAnsi="宋体" w:eastAsia="宋体" w:cs="宋体"/>
          <w:szCs w:val="21"/>
        </w:rPr>
        <w:t>18cm ×55 cm</w:t>
      </w:r>
      <w:r>
        <w:rPr>
          <w:rFonts w:hAnsi="宋体" w:eastAsia="宋体" w:cs="宋体"/>
          <w:szCs w:val="21"/>
        </w:rPr>
        <w:t>～</w:t>
      </w:r>
      <w:r>
        <w:rPr>
          <w:rFonts w:hint="eastAsia" w:hAnsi="宋体" w:eastAsia="宋体" w:cs="宋体"/>
          <w:szCs w:val="21"/>
        </w:rPr>
        <w:t>60 cm，厚0.06 cm～0.08 cm的高密度聚乙烯塑料袋,17 cm×58 cm装袋后重量为2.5 kg～2.7kg，18 cm×60 cm装袋后重量为3.0 kg～3.3kg。高密度聚乙烯塑料袋符合GB 4806.7的要求。用香菇专用装袋扎口一体机装袋扎口。</w:t>
      </w:r>
    </w:p>
    <w:p>
      <w:pPr>
        <w:pStyle w:val="29"/>
        <w:spacing w:before="156" w:after="156"/>
        <w:ind w:left="0" w:firstLine="0"/>
        <w:rPr>
          <w:rFonts w:hAnsi="黑体" w:cs="黑体"/>
          <w:color w:val="000000"/>
        </w:rPr>
      </w:pPr>
      <w:r>
        <w:rPr>
          <w:rFonts w:hint="eastAsia" w:hAnsi="黑体" w:cs="黑体"/>
          <w:color w:val="000000"/>
        </w:rPr>
        <w:t>5.4 灭菌</w:t>
      </w:r>
    </w:p>
    <w:p>
      <w:pPr>
        <w:pStyle w:val="27"/>
        <w:spacing w:line="360" w:lineRule="auto"/>
        <w:ind w:firstLineChars="0"/>
        <w:rPr>
          <w:rFonts w:hAnsi="宋体" w:eastAsia="宋体" w:cs="宋体"/>
          <w:szCs w:val="21"/>
        </w:rPr>
      </w:pPr>
      <w:r>
        <w:rPr>
          <w:rFonts w:hint="eastAsia" w:hAnsi="宋体" w:eastAsia="宋体" w:cs="宋体"/>
          <w:szCs w:val="21"/>
        </w:rPr>
        <w:t>采用常压灭菌，6 h内灭菌温度上升到100℃，保持24h</w:t>
      </w:r>
      <w:r>
        <w:rPr>
          <w:rFonts w:hAnsi="宋体" w:eastAsia="宋体" w:cs="宋体"/>
          <w:szCs w:val="21"/>
        </w:rPr>
        <w:t>～</w:t>
      </w:r>
      <w:r>
        <w:rPr>
          <w:rFonts w:hint="eastAsia" w:hAnsi="宋体" w:eastAsia="宋体" w:cs="宋体"/>
          <w:szCs w:val="21"/>
        </w:rPr>
        <w:t>36h，停火后焖8h。</w:t>
      </w:r>
    </w:p>
    <w:p>
      <w:pPr>
        <w:pStyle w:val="29"/>
        <w:spacing w:before="156" w:after="156"/>
        <w:ind w:left="0" w:firstLine="0"/>
        <w:rPr>
          <w:rFonts w:hAnsi="黑体" w:cs="黑体"/>
          <w:color w:val="000000"/>
        </w:rPr>
      </w:pPr>
      <w:r>
        <w:rPr>
          <w:rFonts w:hint="eastAsia" w:hAnsi="黑体" w:cs="黑体"/>
          <w:color w:val="000000"/>
        </w:rPr>
        <w:t>5.5  冷却</w:t>
      </w:r>
    </w:p>
    <w:p>
      <w:pPr>
        <w:pStyle w:val="27"/>
        <w:spacing w:line="360" w:lineRule="auto"/>
        <w:ind w:firstLineChars="0"/>
        <w:rPr>
          <w:rFonts w:hAnsi="宋体" w:eastAsia="宋体" w:cs="宋体"/>
          <w:szCs w:val="21"/>
        </w:rPr>
      </w:pPr>
      <w:r>
        <w:rPr>
          <w:rFonts w:hint="eastAsia" w:hAnsi="宋体" w:eastAsia="宋体" w:cs="宋体"/>
          <w:szCs w:val="21"/>
        </w:rPr>
        <w:t>菌棒温度自然降至50℃搬入接种室（棚）。</w:t>
      </w:r>
    </w:p>
    <w:p>
      <w:r>
        <w:rPr>
          <w:rFonts w:hint="eastAsia"/>
        </w:rPr>
        <w:t>5.6  菌种选择</w:t>
      </w:r>
    </w:p>
    <w:p>
      <w:pPr>
        <w:pStyle w:val="27"/>
        <w:spacing w:line="360" w:lineRule="auto"/>
        <w:ind w:firstLineChars="0"/>
        <w:jc w:val="left"/>
        <w:rPr>
          <w:rFonts w:hAnsi="宋体" w:eastAsia="宋体" w:cs="宋体"/>
          <w:szCs w:val="21"/>
        </w:rPr>
      </w:pPr>
      <w:r>
        <w:rPr>
          <w:rFonts w:hint="eastAsia" w:hAnsi="宋体" w:eastAsia="宋体" w:cs="宋体"/>
          <w:szCs w:val="21"/>
        </w:rPr>
        <w:t>根据不同季节选择抗逆性强、产量高的菌种，按</w:t>
      </w:r>
      <w:r>
        <w:fldChar w:fldCharType="begin"/>
      </w:r>
      <w:r>
        <w:instrText xml:space="preserve"> HYPERLINK "https://www.baidu.com/link?url=ZFeGoPMLZbmU76JxmQyHI3m4mTAdMtmyugo8nvGrhfZtU7X_K8bV7pWl51RUY1gNE_XeCnSfLCoplAcy_nuLO_&amp;wd=&amp;eqid=af9dcd4200027bf4000000065fd8a979" \t "_blank" </w:instrText>
      </w:r>
      <w:r>
        <w:fldChar w:fldCharType="separate"/>
      </w:r>
      <w:r>
        <w:rPr>
          <w:rFonts w:hint="eastAsia" w:hAnsi="宋体" w:eastAsia="宋体" w:cs="宋体"/>
        </w:rPr>
        <w:t>GB 19170</w:t>
      </w:r>
      <w:r>
        <w:rPr>
          <w:rFonts w:hint="eastAsia" w:hAnsi="宋体" w:eastAsia="宋体" w:cs="宋体"/>
          <w:szCs w:val="21"/>
        </w:rPr>
        <w:t>香菇菌种</w:t>
      </w:r>
      <w:r>
        <w:rPr>
          <w:rFonts w:hint="eastAsia" w:hAnsi="宋体" w:eastAsia="宋体" w:cs="宋体"/>
          <w:szCs w:val="21"/>
        </w:rPr>
        <w:fldChar w:fldCharType="end"/>
      </w:r>
      <w:r>
        <w:rPr>
          <w:rFonts w:hint="eastAsia" w:hAnsi="宋体" w:eastAsia="宋体" w:cs="宋体"/>
          <w:szCs w:val="21"/>
        </w:rPr>
        <w:t>标准执行。</w:t>
      </w:r>
    </w:p>
    <w:p>
      <w:r>
        <w:rPr>
          <w:rFonts w:hint="eastAsia"/>
        </w:rPr>
        <w:t>5.7接种</w:t>
      </w:r>
    </w:p>
    <w:p>
      <w:pPr>
        <w:pStyle w:val="27"/>
        <w:spacing w:line="360" w:lineRule="auto"/>
        <w:ind w:firstLineChars="0"/>
        <w:rPr>
          <w:rFonts w:hAnsi="宋体" w:eastAsia="宋体" w:cs="宋体"/>
          <w:szCs w:val="21"/>
        </w:rPr>
      </w:pPr>
      <w:r>
        <w:rPr>
          <w:rFonts w:hint="eastAsia" w:hAnsi="宋体" w:eastAsia="宋体" w:cs="宋体"/>
          <w:szCs w:val="21"/>
        </w:rPr>
        <w:t>接种前彻底消毒，酒精符合GB26373的要求，其它消毒药品应符合GB 15979 和WS 628的要求。菌棒料</w:t>
      </w:r>
      <w:r>
        <w:rPr>
          <w:rFonts w:hint="eastAsia" w:hAnsi="宋体" w:eastAsia="宋体" w:cs="宋体"/>
          <w:szCs w:val="21"/>
          <w:lang w:val="en-US" w:eastAsia="zh-CN"/>
        </w:rPr>
        <w:t>中心</w:t>
      </w:r>
      <w:r>
        <w:rPr>
          <w:rFonts w:hint="eastAsia" w:hAnsi="宋体" w:eastAsia="宋体" w:cs="宋体"/>
          <w:szCs w:val="21"/>
        </w:rPr>
        <w:t>温</w:t>
      </w:r>
      <w:r>
        <w:rPr>
          <w:rFonts w:hint="eastAsia" w:hAnsi="宋体" w:eastAsia="宋体" w:cs="宋体"/>
          <w:szCs w:val="21"/>
          <w:lang w:val="en-US" w:eastAsia="zh-CN"/>
        </w:rPr>
        <w:t>度</w:t>
      </w:r>
      <w:r>
        <w:rPr>
          <w:rFonts w:hint="eastAsia" w:hAnsi="宋体" w:eastAsia="宋体" w:cs="宋体"/>
          <w:szCs w:val="21"/>
        </w:rPr>
        <w:t>降至</w:t>
      </w:r>
      <w:r>
        <w:rPr>
          <w:rFonts w:hint="eastAsia" w:hAnsi="宋体" w:eastAsia="宋体" w:cs="宋体"/>
          <w:szCs w:val="21"/>
          <w:lang w:val="en-US" w:eastAsia="zh-CN"/>
        </w:rPr>
        <w:t>27</w:t>
      </w:r>
      <w:r>
        <w:rPr>
          <w:rFonts w:hint="eastAsia" w:hAnsi="宋体" w:eastAsia="宋体" w:cs="宋体"/>
          <w:szCs w:val="21"/>
        </w:rPr>
        <w:t xml:space="preserve"> ℃以下，在菌棒上均匀打3～4个接种穴，穴孔直径2.8cm～3.2 cm，深4cm～5cm，接入菌种。接种口压平不留空隙。接种后用20cm×63cm× 0.03cm的聚乙烯塑料外套袋或用60 cm宽的地膜逐层压好将接种口盖严。</w:t>
      </w:r>
    </w:p>
    <w:p>
      <w:pPr>
        <w:pStyle w:val="30"/>
        <w:spacing w:before="312" w:after="312"/>
        <w:ind w:left="0" w:firstLine="0"/>
        <w:rPr>
          <w:rFonts w:ascii="Times New Roman"/>
          <w:color w:val="000000"/>
          <w:szCs w:val="21"/>
        </w:rPr>
      </w:pPr>
      <w:r>
        <w:rPr>
          <w:rFonts w:hint="eastAsia" w:hAnsi="黑体" w:cs="黑体"/>
          <w:kern w:val="2"/>
          <w:szCs w:val="21"/>
        </w:rPr>
        <w:t xml:space="preserve">5.8 </w:t>
      </w:r>
      <w:r>
        <w:rPr>
          <w:rFonts w:ascii="Times New Roman"/>
          <w:color w:val="000000"/>
          <w:szCs w:val="21"/>
        </w:rPr>
        <w:t>养菌</w:t>
      </w:r>
    </w:p>
    <w:p>
      <w:r>
        <w:rPr>
          <w:rFonts w:hint="eastAsia"/>
        </w:rPr>
        <w:t>5.8.1  培养条件</w:t>
      </w:r>
    </w:p>
    <w:p>
      <w:pPr>
        <w:pStyle w:val="27"/>
        <w:spacing w:line="360" w:lineRule="auto"/>
        <w:ind w:firstLineChars="0"/>
        <w:rPr>
          <w:rFonts w:hAnsi="宋体" w:eastAsia="宋体" w:cs="宋体"/>
          <w:szCs w:val="21"/>
        </w:rPr>
      </w:pPr>
      <w:r>
        <w:rPr>
          <w:rFonts w:hint="eastAsia" w:hAnsi="宋体" w:eastAsia="宋体" w:cs="宋体"/>
          <w:szCs w:val="21"/>
        </w:rPr>
        <w:t>在清洁、干燥、暗光条件下养菌，温度6℃～30℃，最适温度23℃～25℃，</w:t>
      </w:r>
      <w:r>
        <w:rPr>
          <w:rFonts w:hint="eastAsia" w:hAnsi="宋体" w:eastAsia="宋体" w:cs="宋体"/>
          <w:szCs w:val="21"/>
          <w:lang w:val="en-US" w:eastAsia="zh-CN"/>
        </w:rPr>
        <w:t>空气</w:t>
      </w:r>
      <w:r>
        <w:rPr>
          <w:rFonts w:hint="eastAsia" w:hAnsi="宋体" w:eastAsia="宋体" w:cs="宋体"/>
          <w:szCs w:val="21"/>
        </w:rPr>
        <w:t>相对湿度45%～55%，通风良好，氧气充足。</w:t>
      </w:r>
    </w:p>
    <w:p>
      <w:r>
        <w:rPr>
          <w:rFonts w:hint="eastAsia"/>
        </w:rPr>
        <w:t>5.8.2  码垛</w:t>
      </w:r>
    </w:p>
    <w:p>
      <w:pPr>
        <w:pStyle w:val="27"/>
        <w:spacing w:line="360" w:lineRule="auto"/>
        <w:ind w:firstLineChars="0"/>
        <w:rPr>
          <w:szCs w:val="21"/>
        </w:rPr>
      </w:pPr>
      <w:r>
        <w:rPr>
          <w:rFonts w:hint="eastAsia" w:hAnsi="宋体" w:eastAsia="宋体" w:cs="宋体"/>
          <w:szCs w:val="21"/>
        </w:rPr>
        <w:t>接种后菌棒按“一”字型摆放，高度10层～12层，过道间距30cm ,上盖黑膜，四周盖无滴膜养菌。每3d通风一次，每次</w:t>
      </w:r>
      <w:r>
        <w:rPr>
          <w:rFonts w:hint="eastAsia" w:hAnsi="宋体" w:eastAsia="宋体" w:cs="宋体"/>
          <w:szCs w:val="21"/>
          <w:lang w:val="en-US" w:eastAsia="zh-CN"/>
        </w:rPr>
        <w:t>1</w:t>
      </w:r>
      <w:r>
        <w:rPr>
          <w:rFonts w:hint="eastAsia" w:hAnsi="宋体" w:eastAsia="宋体" w:cs="宋体"/>
          <w:szCs w:val="21"/>
        </w:rPr>
        <w:t>～</w:t>
      </w:r>
      <w:r>
        <w:rPr>
          <w:rFonts w:hint="eastAsia" w:hAnsi="宋体" w:eastAsia="宋体" w:cs="宋体"/>
          <w:szCs w:val="21"/>
          <w:lang w:val="en-US" w:eastAsia="zh-CN"/>
        </w:rPr>
        <w:t>2</w:t>
      </w:r>
      <w:r>
        <w:rPr>
          <w:rFonts w:hint="eastAsia" w:hAnsi="宋体" w:eastAsia="宋体" w:cs="宋体"/>
          <w:szCs w:val="21"/>
        </w:rPr>
        <w:t>h</w:t>
      </w:r>
      <w:r>
        <w:rPr>
          <w:rFonts w:hint="eastAsia" w:hAnsi="宋体" w:eastAsia="宋体" w:cs="宋体"/>
          <w:szCs w:val="21"/>
          <w:lang w:eastAsia="zh-CN"/>
        </w:rPr>
        <w:t>，</w:t>
      </w:r>
      <w:r>
        <w:rPr>
          <w:rFonts w:hint="eastAsia" w:hAnsi="宋体" w:eastAsia="宋体" w:cs="宋体"/>
          <w:szCs w:val="21"/>
        </w:rPr>
        <w:t>适温培养。</w:t>
      </w:r>
    </w:p>
    <w:p>
      <w:r>
        <w:rPr>
          <w:rFonts w:hint="eastAsia"/>
        </w:rPr>
        <w:t>5.8.3翻堆、刺孔</w:t>
      </w:r>
    </w:p>
    <w:p>
      <w:pPr>
        <w:pStyle w:val="27"/>
        <w:spacing w:line="360" w:lineRule="auto"/>
        <w:ind w:firstLineChars="0"/>
      </w:pPr>
      <w:r>
        <w:rPr>
          <w:rFonts w:hint="eastAsia" w:hAnsi="宋体" w:eastAsia="宋体" w:cs="宋体"/>
          <w:szCs w:val="21"/>
        </w:rPr>
        <w:t>当菌落直径长至8cm～10cm后第1次翻堆，接种口朝外，按“井”字形摆放，行间距30cm～40cm；当菌丝长至菌棒的二分之一时，第2次翻堆同时刺小孔，在菌丝四周末端2cm以内刺孔10个～15个，孔径0.2 cm～0.3 cm，孔深1.5 cm ,菌棒按“二三二”井字型摆放；当菌丝布满全袋，有部分耳基形成后，第2次刺孔，孔径0.5cm～0.6cm，深度达到菌袋的三分之二，每层按两个菌棒摆放，行间距60cm，高度不超过8层。</w:t>
      </w:r>
    </w:p>
    <w:p>
      <w:r>
        <w:rPr>
          <w:rFonts w:hint="eastAsia"/>
        </w:rPr>
        <w:t>5.8.4 转色管理</w:t>
      </w:r>
    </w:p>
    <w:p>
      <w:pPr>
        <w:pStyle w:val="27"/>
        <w:spacing w:before="120" w:after="120" w:line="360" w:lineRule="auto"/>
        <w:rPr>
          <w:rFonts w:hAnsi="宋体" w:eastAsia="宋体" w:cs="宋体"/>
          <w:szCs w:val="21"/>
        </w:rPr>
      </w:pPr>
      <w:r>
        <w:rPr>
          <w:rFonts w:hint="eastAsia" w:hAnsi="宋体" w:eastAsia="宋体" w:cs="宋体"/>
          <w:szCs w:val="21"/>
        </w:rPr>
        <w:t>温度23℃～2</w:t>
      </w:r>
      <w:r>
        <w:rPr>
          <w:rFonts w:hint="eastAsia" w:hAnsi="宋体" w:eastAsia="宋体" w:cs="宋体"/>
          <w:szCs w:val="21"/>
          <w:lang w:val="en-US" w:eastAsia="zh-CN"/>
        </w:rPr>
        <w:t>5</w:t>
      </w:r>
      <w:r>
        <w:rPr>
          <w:rFonts w:hint="eastAsia" w:hAnsi="宋体" w:eastAsia="宋体" w:cs="宋体"/>
          <w:szCs w:val="21"/>
        </w:rPr>
        <w:t>℃，昼夜温差8℃以内，空气</w:t>
      </w:r>
      <w:r>
        <w:rPr>
          <w:rFonts w:hint="eastAsia" w:hAnsi="宋体" w:eastAsia="宋体" w:cs="宋体"/>
          <w:szCs w:val="21"/>
          <w:lang w:val="en-US" w:eastAsia="zh-CN"/>
        </w:rPr>
        <w:t>相对</w:t>
      </w:r>
      <w:r>
        <w:rPr>
          <w:rFonts w:hint="eastAsia" w:hAnsi="宋体" w:eastAsia="宋体" w:cs="宋体"/>
          <w:szCs w:val="21"/>
        </w:rPr>
        <w:t>湿度</w:t>
      </w:r>
      <w:r>
        <w:rPr>
          <w:rFonts w:hint="eastAsia" w:hAnsi="宋体" w:eastAsia="宋体" w:cs="宋体"/>
          <w:szCs w:val="21"/>
          <w:lang w:val="en-US" w:eastAsia="zh-CN"/>
        </w:rPr>
        <w:t>60</w:t>
      </w:r>
      <w:r>
        <w:rPr>
          <w:rFonts w:hint="eastAsia" w:hAnsi="宋体" w:eastAsia="宋体" w:cs="宋体"/>
          <w:szCs w:val="21"/>
        </w:rPr>
        <w:t>%～</w:t>
      </w:r>
      <w:r>
        <w:rPr>
          <w:rFonts w:hint="eastAsia" w:hAnsi="宋体" w:eastAsia="宋体" w:cs="宋体"/>
          <w:szCs w:val="21"/>
          <w:lang w:val="en-US" w:eastAsia="zh-CN"/>
        </w:rPr>
        <w:t>8</w:t>
      </w:r>
      <w:r>
        <w:rPr>
          <w:rFonts w:hint="eastAsia" w:hAnsi="宋体" w:eastAsia="宋体" w:cs="宋体"/>
          <w:szCs w:val="21"/>
        </w:rPr>
        <w:t>0%</w:t>
      </w:r>
      <w:r>
        <w:rPr>
          <w:rFonts w:hint="eastAsia" w:hAnsi="宋体" w:eastAsia="宋体" w:cs="宋体"/>
          <w:szCs w:val="21"/>
          <w:lang w:eastAsia="zh-CN"/>
        </w:rPr>
        <w:t>，</w:t>
      </w:r>
      <w:r>
        <w:rPr>
          <w:rFonts w:hint="eastAsia" w:hAnsi="宋体" w:eastAsia="宋体" w:cs="宋体"/>
          <w:szCs w:val="21"/>
          <w:lang w:val="en-US" w:eastAsia="zh-CN"/>
        </w:rPr>
        <w:t>光照度50lx</w:t>
      </w:r>
      <w:r>
        <w:rPr>
          <w:rFonts w:hint="eastAsia" w:hAnsi="宋体" w:eastAsia="宋体" w:cs="宋体"/>
          <w:szCs w:val="21"/>
        </w:rPr>
        <w:t>～</w:t>
      </w:r>
      <w:r>
        <w:rPr>
          <w:rFonts w:hint="eastAsia" w:hAnsi="宋体" w:eastAsia="宋体" w:cs="宋体"/>
          <w:szCs w:val="21"/>
          <w:lang w:val="en-US" w:eastAsia="zh-CN"/>
        </w:rPr>
        <w:t>200lx,每d光照时长不少于12h,二氧化碳浓度0.35%以下。</w:t>
      </w:r>
    </w:p>
    <w:p>
      <w:r>
        <w:rPr>
          <w:rFonts w:hint="eastAsia"/>
        </w:rPr>
        <w:t>6</w:t>
      </w:r>
      <w:r>
        <w:t xml:space="preserve"> </w:t>
      </w:r>
      <w:r>
        <w:rPr>
          <w:rFonts w:hint="eastAsia"/>
        </w:rPr>
        <w:t>覆土前准备</w:t>
      </w:r>
    </w:p>
    <w:p>
      <w:r>
        <w:rPr>
          <w:rFonts w:hint="eastAsia"/>
        </w:rPr>
        <w:t>6.1建畦及消毒</w:t>
      </w:r>
    </w:p>
    <w:p>
      <w:pPr>
        <w:pStyle w:val="27"/>
        <w:spacing w:before="156" w:after="156" w:line="360" w:lineRule="auto"/>
        <w:ind w:firstLine="0" w:firstLineChars="0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6</w:t>
      </w:r>
      <w:r>
        <w:rPr>
          <w:rFonts w:ascii="黑体" w:hAnsi="黑体" w:eastAsia="黑体" w:cs="黑体"/>
          <w:szCs w:val="21"/>
        </w:rPr>
        <w:t xml:space="preserve">.1.1 </w:t>
      </w:r>
      <w:r>
        <w:rPr>
          <w:rFonts w:hint="eastAsia" w:cs="黑体" w:asciiTheme="minorEastAsia" w:hAnsiTheme="minorEastAsia"/>
          <w:szCs w:val="21"/>
        </w:rPr>
        <w:t>平整地面，距猕猴桃植株30</w:t>
      </w:r>
      <w:r>
        <w:rPr>
          <w:rFonts w:cs="黑体" w:asciiTheme="minorEastAsia" w:hAnsiTheme="minorEastAsia"/>
          <w:szCs w:val="21"/>
        </w:rPr>
        <w:t xml:space="preserve"> </w:t>
      </w:r>
      <w:r>
        <w:rPr>
          <w:rFonts w:hint="eastAsia" w:cs="黑体" w:asciiTheme="minorEastAsia" w:hAnsiTheme="minorEastAsia"/>
          <w:szCs w:val="21"/>
        </w:rPr>
        <w:t>cm处筑宽</w:t>
      </w:r>
      <w:r>
        <w:rPr>
          <w:rFonts w:cs="黑体" w:asciiTheme="minorEastAsia" w:hAnsiTheme="minorEastAsia"/>
          <w:szCs w:val="21"/>
        </w:rPr>
        <w:t xml:space="preserve">50 </w:t>
      </w:r>
      <w:r>
        <w:rPr>
          <w:rFonts w:hint="eastAsia" w:cs="黑体" w:asciiTheme="minorEastAsia" w:hAnsiTheme="minorEastAsia"/>
          <w:szCs w:val="21"/>
        </w:rPr>
        <w:t>cm的畦，畅通排水。</w:t>
      </w:r>
    </w:p>
    <w:p>
      <w:pPr>
        <w:pStyle w:val="27"/>
        <w:spacing w:before="156" w:after="156" w:line="360" w:lineRule="auto"/>
        <w:ind w:firstLine="0" w:firstLineChars="0"/>
        <w:rPr>
          <w:rFonts w:cs="黑体" w:asciiTheme="minorEastAsia" w:hAnsiTheme="minorEastAsia"/>
          <w:szCs w:val="21"/>
        </w:rPr>
      </w:pPr>
      <w:r>
        <w:rPr>
          <w:rFonts w:ascii="黑体" w:hAnsi="黑体" w:eastAsia="黑体" w:cs="黑体"/>
          <w:szCs w:val="21"/>
        </w:rPr>
        <w:t>6.1.2</w:t>
      </w:r>
      <w:r>
        <w:rPr>
          <w:rFonts w:hint="eastAsia" w:ascii="黑体" w:hAnsi="黑体" w:eastAsia="黑体" w:cs="黑体"/>
          <w:szCs w:val="21"/>
          <w:lang w:val="en-US" w:eastAsia="zh-CN"/>
        </w:rPr>
        <w:t xml:space="preserve"> </w:t>
      </w:r>
      <w:r>
        <w:rPr>
          <w:rFonts w:hint="eastAsia" w:cs="黑体" w:asciiTheme="minorEastAsia" w:hAnsiTheme="minorEastAsia"/>
          <w:szCs w:val="21"/>
        </w:rPr>
        <w:t>畦面撒15 kg/667㎡石灰</w:t>
      </w:r>
      <w:r>
        <w:rPr>
          <w:rFonts w:hint="eastAsia" w:cs="黑体" w:asciiTheme="minorEastAsia" w:hAnsiTheme="minorEastAsia"/>
          <w:szCs w:val="21"/>
          <w:lang w:val="en-US" w:eastAsia="zh-CN"/>
        </w:rPr>
        <w:t>进行</w:t>
      </w:r>
      <w:r>
        <w:rPr>
          <w:rFonts w:hint="eastAsia" w:cs="黑体" w:asciiTheme="minorEastAsia" w:hAnsiTheme="minorEastAsia"/>
          <w:szCs w:val="21"/>
        </w:rPr>
        <w:t>消毒</w:t>
      </w:r>
      <w:r>
        <w:rPr>
          <w:rFonts w:hint="eastAsia" w:cs="黑体" w:asciiTheme="minorEastAsia" w:hAnsiTheme="minorEastAsia"/>
          <w:szCs w:val="21"/>
          <w:lang w:val="en-US" w:eastAsia="zh-CN"/>
        </w:rPr>
        <w:t>处理</w:t>
      </w:r>
      <w:r>
        <w:rPr>
          <w:rFonts w:hint="eastAsia" w:cs="黑体" w:asciiTheme="minorEastAsia" w:hAnsiTheme="minorEastAsia"/>
          <w:szCs w:val="21"/>
        </w:rPr>
        <w:t>。</w:t>
      </w:r>
      <w:r>
        <w:rPr>
          <w:rFonts w:cs="黑体" w:asciiTheme="minorEastAsia" w:hAnsiTheme="minorEastAsia"/>
          <w:szCs w:val="21"/>
        </w:rPr>
        <w:t xml:space="preserve"> </w:t>
      </w:r>
    </w:p>
    <w:p>
      <w:r>
        <w:rPr>
          <w:rFonts w:hint="eastAsia"/>
        </w:rPr>
        <w:t>7</w:t>
      </w:r>
      <w:r>
        <w:t xml:space="preserve"> </w:t>
      </w:r>
      <w:r>
        <w:rPr>
          <w:rFonts w:hint="eastAsia"/>
        </w:rPr>
        <w:t>排棒覆土</w:t>
      </w:r>
    </w:p>
    <w:p>
      <w:pPr>
        <w:pStyle w:val="27"/>
        <w:spacing w:before="120" w:after="120" w:line="360" w:lineRule="auto"/>
        <w:rPr>
          <w:rFonts w:hint="eastAsia" w:hAnsi="宋体" w:eastAsia="宋体" w:cs="宋体"/>
          <w:szCs w:val="21"/>
        </w:rPr>
      </w:pPr>
      <w:r>
        <w:rPr>
          <w:rFonts w:hint="eastAsia" w:hAnsi="宋体" w:eastAsia="宋体" w:cs="宋体"/>
          <w:szCs w:val="21"/>
        </w:rPr>
        <w:t>排棒前畦内浇透水，适墒时脱袋摆放，菌棒表面覆土1cm</w:t>
      </w:r>
      <w:r>
        <w:rPr>
          <w:rFonts w:hint="eastAsia" w:hAnsi="宋体" w:cs="宋体"/>
          <w:szCs w:val="21"/>
        </w:rPr>
        <w:t>～</w:t>
      </w:r>
      <w:r>
        <w:rPr>
          <w:rFonts w:hint="eastAsia" w:hAnsi="宋体" w:eastAsia="宋体" w:cs="宋体"/>
          <w:szCs w:val="21"/>
        </w:rPr>
        <w:t>1.5cm。</w:t>
      </w:r>
    </w:p>
    <w:p>
      <w:r>
        <w:rPr>
          <w:rFonts w:hint="eastAsia"/>
        </w:rPr>
        <w:t>8覆土后管理</w:t>
      </w:r>
    </w:p>
    <w:p>
      <w:pPr>
        <w:pStyle w:val="27"/>
        <w:spacing w:before="120" w:after="120" w:line="360" w:lineRule="auto"/>
        <w:rPr>
          <w:rFonts w:hAnsi="宋体" w:eastAsia="宋体" w:cs="宋体"/>
          <w:szCs w:val="21"/>
        </w:rPr>
      </w:pPr>
      <w:r>
        <w:rPr>
          <w:rFonts w:hint="eastAsia" w:hAnsi="宋体" w:eastAsia="宋体" w:cs="宋体"/>
          <w:szCs w:val="21"/>
        </w:rPr>
        <w:t>覆土后畦面搭拱形架，覆盖塑料薄膜。棚内温度20℃</w:t>
      </w:r>
      <w:r>
        <w:rPr>
          <w:rFonts w:hint="eastAsia" w:hAnsi="宋体" w:cs="宋体"/>
          <w:szCs w:val="21"/>
        </w:rPr>
        <w:t>±</w:t>
      </w:r>
      <w:r>
        <w:rPr>
          <w:rFonts w:hint="eastAsia" w:hAnsi="宋体" w:eastAsia="宋体" w:cs="宋体"/>
          <w:szCs w:val="21"/>
        </w:rPr>
        <w:t>5℃，</w:t>
      </w:r>
      <w:r>
        <w:rPr>
          <w:rFonts w:hint="eastAsia" w:hAnsi="宋体" w:cs="宋体"/>
          <w:szCs w:val="21"/>
        </w:rPr>
        <w:t>第4d</w:t>
      </w:r>
      <w:r>
        <w:rPr>
          <w:rFonts w:hAnsi="宋体" w:cs="宋体"/>
          <w:szCs w:val="21"/>
        </w:rPr>
        <w:t xml:space="preserve"> </w:t>
      </w:r>
      <w:r>
        <w:rPr>
          <w:rFonts w:hint="eastAsia" w:hAnsi="宋体" w:cs="宋体"/>
          <w:szCs w:val="21"/>
        </w:rPr>
        <w:t>后每日揭膜通风</w:t>
      </w:r>
      <w:r>
        <w:rPr>
          <w:rFonts w:hint="eastAsia" w:hAnsi="宋体" w:eastAsia="宋体" w:cs="宋体"/>
          <w:szCs w:val="21"/>
        </w:rPr>
        <w:t>2</w:t>
      </w:r>
      <w:r>
        <w:rPr>
          <w:rFonts w:hint="eastAsia" w:hAnsi="宋体" w:cs="宋体"/>
          <w:szCs w:val="21"/>
        </w:rPr>
        <w:t>次～</w:t>
      </w:r>
      <w:r>
        <w:rPr>
          <w:rFonts w:hAnsi="宋体" w:eastAsia="宋体" w:cs="宋体"/>
          <w:szCs w:val="21"/>
        </w:rPr>
        <w:t>3</w:t>
      </w:r>
      <w:r>
        <w:rPr>
          <w:rFonts w:hint="eastAsia" w:hAnsi="宋体" w:eastAsia="宋体" w:cs="宋体"/>
          <w:szCs w:val="21"/>
        </w:rPr>
        <w:t>次，每次0</w:t>
      </w:r>
      <w:r>
        <w:rPr>
          <w:rFonts w:hAnsi="宋体" w:eastAsia="宋体" w:cs="宋体"/>
          <w:szCs w:val="21"/>
        </w:rPr>
        <w:t>.5</w:t>
      </w:r>
      <w:r>
        <w:rPr>
          <w:rFonts w:hint="eastAsia" w:hAnsi="宋体" w:eastAsia="宋体" w:cs="宋体"/>
          <w:szCs w:val="21"/>
        </w:rPr>
        <w:t>h。阴雨天或温度3</w:t>
      </w:r>
      <w:r>
        <w:rPr>
          <w:rFonts w:hAnsi="宋体" w:eastAsia="宋体" w:cs="宋体"/>
          <w:szCs w:val="21"/>
        </w:rPr>
        <w:t>0</w:t>
      </w:r>
      <w:r>
        <w:rPr>
          <w:rFonts w:hint="eastAsia" w:hAnsi="宋体" w:eastAsia="宋体" w:cs="宋体"/>
          <w:szCs w:val="21"/>
        </w:rPr>
        <w:t>℃</w:t>
      </w:r>
      <w:r>
        <w:rPr>
          <w:rFonts w:hint="eastAsia" w:hAnsi="宋体" w:cs="宋体"/>
          <w:szCs w:val="21"/>
        </w:rPr>
        <w:t>以上</w:t>
      </w:r>
      <w:r>
        <w:rPr>
          <w:rFonts w:hint="eastAsia" w:hAnsi="宋体" w:eastAsia="宋体" w:cs="宋体"/>
          <w:szCs w:val="21"/>
        </w:rPr>
        <w:t>延长通风时间。覆土表面发白时，喷雾状水。10</w:t>
      </w:r>
      <w:r>
        <w:rPr>
          <w:rFonts w:hint="eastAsia" w:hAnsi="宋体" w:cs="宋体"/>
          <w:szCs w:val="21"/>
        </w:rPr>
        <w:t>d</w:t>
      </w:r>
      <w:r>
        <w:rPr>
          <w:rFonts w:hint="eastAsia" w:hAnsi="宋体" w:eastAsia="宋体" w:cs="宋体"/>
          <w:szCs w:val="21"/>
        </w:rPr>
        <w:t>后保持土壤干湿交替，温差</w:t>
      </w:r>
      <w:r>
        <w:rPr>
          <w:rFonts w:hint="eastAsia" w:hAnsi="宋体" w:cs="宋体"/>
          <w:szCs w:val="21"/>
        </w:rPr>
        <w:t>8</w:t>
      </w:r>
      <w:r>
        <w:rPr>
          <w:rFonts w:hint="eastAsia" w:hAnsi="宋体" w:eastAsia="宋体" w:cs="宋体"/>
          <w:szCs w:val="21"/>
        </w:rPr>
        <w:t>℃</w:t>
      </w:r>
      <w:r>
        <w:rPr>
          <w:rFonts w:hint="eastAsia" w:hAnsi="宋体" w:cs="宋体"/>
          <w:szCs w:val="21"/>
        </w:rPr>
        <w:t>～</w:t>
      </w:r>
      <w:r>
        <w:rPr>
          <w:rFonts w:hAnsi="宋体" w:cs="宋体"/>
          <w:szCs w:val="21"/>
        </w:rPr>
        <w:t>10</w:t>
      </w:r>
      <w:r>
        <w:rPr>
          <w:rFonts w:hint="eastAsia" w:hAnsi="宋体" w:eastAsia="宋体" w:cs="宋体"/>
          <w:szCs w:val="21"/>
        </w:rPr>
        <w:t>℃。</w:t>
      </w:r>
      <w:r>
        <w:rPr>
          <w:rFonts w:hint="eastAsia" w:hAnsi="宋体" w:cs="宋体"/>
          <w:szCs w:val="21"/>
        </w:rPr>
        <w:t>出菇后</w:t>
      </w:r>
      <w:r>
        <w:rPr>
          <w:rFonts w:hint="eastAsia" w:hAnsi="宋体" w:eastAsia="宋体" w:cs="宋体"/>
          <w:szCs w:val="21"/>
        </w:rPr>
        <w:t>加强通风</w:t>
      </w:r>
      <w:r>
        <w:rPr>
          <w:rFonts w:hint="eastAsia" w:hAnsi="宋体" w:cs="宋体"/>
          <w:szCs w:val="21"/>
        </w:rPr>
        <w:t>，注意</w:t>
      </w:r>
      <w:r>
        <w:rPr>
          <w:rFonts w:hint="eastAsia" w:hAnsi="宋体" w:eastAsia="宋体" w:cs="宋体"/>
          <w:szCs w:val="21"/>
        </w:rPr>
        <w:t>排水。</w:t>
      </w:r>
    </w:p>
    <w:p>
      <w:r>
        <w:rPr>
          <w:rFonts w:hint="eastAsia"/>
        </w:rPr>
        <w:t>9采收</w:t>
      </w:r>
    </w:p>
    <w:p>
      <w:r>
        <w:rPr>
          <w:rFonts w:hint="eastAsia"/>
        </w:rPr>
        <w:t>9</w:t>
      </w:r>
      <w:r>
        <w:t>.1</w:t>
      </w:r>
      <w:r>
        <w:rPr>
          <w:rFonts w:hint="eastAsia"/>
        </w:rPr>
        <w:t>采收时机</w:t>
      </w:r>
    </w:p>
    <w:p>
      <w:pPr>
        <w:rPr>
          <w:rFonts w:hint="eastAsia"/>
        </w:rPr>
      </w:pPr>
      <w:r>
        <w:rPr>
          <w:rFonts w:hint="eastAsia"/>
        </w:rPr>
        <w:t>菌盖长大，菌幕开始破裂。</w:t>
      </w:r>
    </w:p>
    <w:p>
      <w:r>
        <w:rPr>
          <w:rFonts w:hint="eastAsia"/>
        </w:rPr>
        <w:t>9</w:t>
      </w:r>
      <w:r>
        <w:t>.2</w:t>
      </w:r>
      <w:r>
        <w:rPr>
          <w:rFonts w:hint="eastAsia"/>
        </w:rPr>
        <w:t>采收方法</w:t>
      </w:r>
    </w:p>
    <w:p>
      <w:pPr>
        <w:rPr>
          <w:rFonts w:hint="eastAsia"/>
        </w:rPr>
      </w:pPr>
      <w:r>
        <w:rPr>
          <w:rFonts w:hint="eastAsia"/>
        </w:rPr>
        <w:t>手持菌柄旋转采摘。</w:t>
      </w: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>1</w:t>
      </w:r>
      <w:r>
        <w:t>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档案管理</w:t>
      </w: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>建立</w:t>
      </w:r>
      <w:r>
        <w:rPr>
          <w:rFonts w:hint="eastAsia"/>
          <w:lang w:val="en-US" w:eastAsia="zh-CN"/>
        </w:rPr>
        <w:t>栽培</w:t>
      </w:r>
      <w:r>
        <w:rPr>
          <w:rFonts w:hint="eastAsia"/>
        </w:rPr>
        <w:t>档案，包括但不限于猕猴桃园覆土栽培香菇产地环境、菌棒生产、覆土前准备、排棒覆土、覆土后管理、采收</w:t>
      </w:r>
      <w:r>
        <w:rPr>
          <w:rFonts w:hint="eastAsia"/>
          <w:lang w:val="en-US" w:eastAsia="zh-CN"/>
        </w:rPr>
        <w:t>等</w:t>
      </w:r>
      <w:r>
        <w:rPr>
          <w:rFonts w:hint="eastAsia"/>
        </w:rPr>
        <w:t>内容，保存不少于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年。</w:t>
      </w:r>
    </w:p>
    <w:p>
      <w:pPr>
        <w:pStyle w:val="42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S Mincho">
    <w:altName w:val="方正书宋_GBK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284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YzNjBkOTgyNWQ1YTMxYzM3MzMwNWFiODNmOWIzYWMifQ=="/>
  </w:docVars>
  <w:rsids>
    <w:rsidRoot w:val="009C06DD"/>
    <w:rsid w:val="0008007D"/>
    <w:rsid w:val="000A52D5"/>
    <w:rsid w:val="000A5A31"/>
    <w:rsid w:val="000C3D0D"/>
    <w:rsid w:val="000F37EA"/>
    <w:rsid w:val="0010188C"/>
    <w:rsid w:val="00117F1A"/>
    <w:rsid w:val="00135AA3"/>
    <w:rsid w:val="00143564"/>
    <w:rsid w:val="001A1465"/>
    <w:rsid w:val="001C67D3"/>
    <w:rsid w:val="0024506E"/>
    <w:rsid w:val="002530EB"/>
    <w:rsid w:val="002534A9"/>
    <w:rsid w:val="0028765C"/>
    <w:rsid w:val="002968BF"/>
    <w:rsid w:val="002A4F19"/>
    <w:rsid w:val="002B33DF"/>
    <w:rsid w:val="00307E4B"/>
    <w:rsid w:val="00314E43"/>
    <w:rsid w:val="0035055D"/>
    <w:rsid w:val="00357ED4"/>
    <w:rsid w:val="00374060"/>
    <w:rsid w:val="00397375"/>
    <w:rsid w:val="003A5FB0"/>
    <w:rsid w:val="003E5328"/>
    <w:rsid w:val="004176CB"/>
    <w:rsid w:val="004243F2"/>
    <w:rsid w:val="004274BD"/>
    <w:rsid w:val="00464BCF"/>
    <w:rsid w:val="00483863"/>
    <w:rsid w:val="0049513C"/>
    <w:rsid w:val="004C0088"/>
    <w:rsid w:val="004C51E6"/>
    <w:rsid w:val="00524B9B"/>
    <w:rsid w:val="00526C00"/>
    <w:rsid w:val="0053033B"/>
    <w:rsid w:val="00561E9E"/>
    <w:rsid w:val="005633FD"/>
    <w:rsid w:val="005702CF"/>
    <w:rsid w:val="005845C2"/>
    <w:rsid w:val="005A39DF"/>
    <w:rsid w:val="00646D5F"/>
    <w:rsid w:val="00651019"/>
    <w:rsid w:val="0066615E"/>
    <w:rsid w:val="00666C0C"/>
    <w:rsid w:val="0067062C"/>
    <w:rsid w:val="00681920"/>
    <w:rsid w:val="00692284"/>
    <w:rsid w:val="006C02B3"/>
    <w:rsid w:val="006D28AD"/>
    <w:rsid w:val="007B0FA9"/>
    <w:rsid w:val="007D0490"/>
    <w:rsid w:val="007D3DAA"/>
    <w:rsid w:val="007D795A"/>
    <w:rsid w:val="007F00F6"/>
    <w:rsid w:val="0081180F"/>
    <w:rsid w:val="0085018C"/>
    <w:rsid w:val="00865D4E"/>
    <w:rsid w:val="008A4FAE"/>
    <w:rsid w:val="008E0A48"/>
    <w:rsid w:val="00933C39"/>
    <w:rsid w:val="00936735"/>
    <w:rsid w:val="00984FDE"/>
    <w:rsid w:val="009C06DD"/>
    <w:rsid w:val="00A1560D"/>
    <w:rsid w:val="00A24D61"/>
    <w:rsid w:val="00A5088A"/>
    <w:rsid w:val="00A51FF3"/>
    <w:rsid w:val="00A52392"/>
    <w:rsid w:val="00A53CF5"/>
    <w:rsid w:val="00A65110"/>
    <w:rsid w:val="00AA0BF4"/>
    <w:rsid w:val="00AB23D1"/>
    <w:rsid w:val="00B136BE"/>
    <w:rsid w:val="00B2453A"/>
    <w:rsid w:val="00B400AD"/>
    <w:rsid w:val="00B4356D"/>
    <w:rsid w:val="00B700AD"/>
    <w:rsid w:val="00B76B41"/>
    <w:rsid w:val="00B952FB"/>
    <w:rsid w:val="00BA309A"/>
    <w:rsid w:val="00BC339E"/>
    <w:rsid w:val="00C00C3B"/>
    <w:rsid w:val="00C07BD5"/>
    <w:rsid w:val="00CC12E6"/>
    <w:rsid w:val="00CC55EC"/>
    <w:rsid w:val="00CF3970"/>
    <w:rsid w:val="00D1639B"/>
    <w:rsid w:val="00D248F3"/>
    <w:rsid w:val="00D24E82"/>
    <w:rsid w:val="00D75131"/>
    <w:rsid w:val="00D7718E"/>
    <w:rsid w:val="00D93C28"/>
    <w:rsid w:val="00DE1E25"/>
    <w:rsid w:val="00E55F18"/>
    <w:rsid w:val="00E6439E"/>
    <w:rsid w:val="00EC77BB"/>
    <w:rsid w:val="00EF3025"/>
    <w:rsid w:val="00F0436B"/>
    <w:rsid w:val="00F82568"/>
    <w:rsid w:val="00FD0364"/>
    <w:rsid w:val="00FE3DB9"/>
    <w:rsid w:val="017D743A"/>
    <w:rsid w:val="018379C7"/>
    <w:rsid w:val="02E16CD7"/>
    <w:rsid w:val="02F93376"/>
    <w:rsid w:val="03F33BF5"/>
    <w:rsid w:val="03FA1935"/>
    <w:rsid w:val="045C5566"/>
    <w:rsid w:val="04DC3D28"/>
    <w:rsid w:val="053202E8"/>
    <w:rsid w:val="053C0B46"/>
    <w:rsid w:val="05567DBD"/>
    <w:rsid w:val="05732A19"/>
    <w:rsid w:val="05A804D3"/>
    <w:rsid w:val="060E0BAD"/>
    <w:rsid w:val="06CB284D"/>
    <w:rsid w:val="06FC7AC5"/>
    <w:rsid w:val="078B2729"/>
    <w:rsid w:val="07F00814"/>
    <w:rsid w:val="08394CE6"/>
    <w:rsid w:val="083D3697"/>
    <w:rsid w:val="086C1EFF"/>
    <w:rsid w:val="08904D98"/>
    <w:rsid w:val="089C4CDE"/>
    <w:rsid w:val="08FB2C0B"/>
    <w:rsid w:val="094407BF"/>
    <w:rsid w:val="09F85D0E"/>
    <w:rsid w:val="0A2543E3"/>
    <w:rsid w:val="0A3D172D"/>
    <w:rsid w:val="0A66610C"/>
    <w:rsid w:val="0B2479FA"/>
    <w:rsid w:val="0B386712"/>
    <w:rsid w:val="0B5D1A71"/>
    <w:rsid w:val="0B715EE0"/>
    <w:rsid w:val="0C1F4BE3"/>
    <w:rsid w:val="0CC6582A"/>
    <w:rsid w:val="0D78464A"/>
    <w:rsid w:val="0E6203C4"/>
    <w:rsid w:val="0EC84DAE"/>
    <w:rsid w:val="10597BAB"/>
    <w:rsid w:val="113B582F"/>
    <w:rsid w:val="12125BBA"/>
    <w:rsid w:val="123A7E4C"/>
    <w:rsid w:val="12811DA5"/>
    <w:rsid w:val="12B83C43"/>
    <w:rsid w:val="139808A3"/>
    <w:rsid w:val="13DF1AA7"/>
    <w:rsid w:val="13E57C7B"/>
    <w:rsid w:val="13FC4A24"/>
    <w:rsid w:val="14120835"/>
    <w:rsid w:val="148E3686"/>
    <w:rsid w:val="14BD727B"/>
    <w:rsid w:val="1541616D"/>
    <w:rsid w:val="15675280"/>
    <w:rsid w:val="15BE726E"/>
    <w:rsid w:val="164510DE"/>
    <w:rsid w:val="1682026D"/>
    <w:rsid w:val="17910E65"/>
    <w:rsid w:val="18A13CF4"/>
    <w:rsid w:val="18D93211"/>
    <w:rsid w:val="18ED2BF1"/>
    <w:rsid w:val="191E4E1F"/>
    <w:rsid w:val="1A423961"/>
    <w:rsid w:val="1A663163"/>
    <w:rsid w:val="1B644217"/>
    <w:rsid w:val="1B86308D"/>
    <w:rsid w:val="1C172C68"/>
    <w:rsid w:val="1C77288D"/>
    <w:rsid w:val="1D002198"/>
    <w:rsid w:val="1D184E75"/>
    <w:rsid w:val="1E984654"/>
    <w:rsid w:val="1F1D514B"/>
    <w:rsid w:val="1F4F3CD3"/>
    <w:rsid w:val="1FB41DAE"/>
    <w:rsid w:val="1FC16B2A"/>
    <w:rsid w:val="20B0585B"/>
    <w:rsid w:val="210D265E"/>
    <w:rsid w:val="21C5126C"/>
    <w:rsid w:val="220A2090"/>
    <w:rsid w:val="222D7A4B"/>
    <w:rsid w:val="22F202A3"/>
    <w:rsid w:val="23AC7411"/>
    <w:rsid w:val="24B97696"/>
    <w:rsid w:val="24E94533"/>
    <w:rsid w:val="25162D96"/>
    <w:rsid w:val="25526001"/>
    <w:rsid w:val="264C0D8A"/>
    <w:rsid w:val="27ED6AAE"/>
    <w:rsid w:val="280B3C23"/>
    <w:rsid w:val="28A47ED9"/>
    <w:rsid w:val="28EC2844"/>
    <w:rsid w:val="29387837"/>
    <w:rsid w:val="29462C35"/>
    <w:rsid w:val="29DE3BB5"/>
    <w:rsid w:val="2AD877B5"/>
    <w:rsid w:val="2B6F5C11"/>
    <w:rsid w:val="2C030067"/>
    <w:rsid w:val="2C144C0C"/>
    <w:rsid w:val="2C47500A"/>
    <w:rsid w:val="2C4D5B17"/>
    <w:rsid w:val="2CA00D4E"/>
    <w:rsid w:val="2D554335"/>
    <w:rsid w:val="2DD8419C"/>
    <w:rsid w:val="2DF92A15"/>
    <w:rsid w:val="2E1857F1"/>
    <w:rsid w:val="2EC4789A"/>
    <w:rsid w:val="2FD66924"/>
    <w:rsid w:val="2FE12958"/>
    <w:rsid w:val="305F244C"/>
    <w:rsid w:val="30696528"/>
    <w:rsid w:val="312D21B4"/>
    <w:rsid w:val="31A50478"/>
    <w:rsid w:val="31DA3116"/>
    <w:rsid w:val="31F07D44"/>
    <w:rsid w:val="3222253C"/>
    <w:rsid w:val="32E96947"/>
    <w:rsid w:val="34382C38"/>
    <w:rsid w:val="34A00986"/>
    <w:rsid w:val="35247773"/>
    <w:rsid w:val="353B6050"/>
    <w:rsid w:val="35634C85"/>
    <w:rsid w:val="35703621"/>
    <w:rsid w:val="357E34BA"/>
    <w:rsid w:val="35847270"/>
    <w:rsid w:val="35E00F68"/>
    <w:rsid w:val="363F5984"/>
    <w:rsid w:val="364C1077"/>
    <w:rsid w:val="36B60D2D"/>
    <w:rsid w:val="370941D7"/>
    <w:rsid w:val="3776097C"/>
    <w:rsid w:val="378B76CC"/>
    <w:rsid w:val="379E73FF"/>
    <w:rsid w:val="37E35972"/>
    <w:rsid w:val="37F95870"/>
    <w:rsid w:val="381D4FCF"/>
    <w:rsid w:val="384F06F9"/>
    <w:rsid w:val="388A1C63"/>
    <w:rsid w:val="39106E36"/>
    <w:rsid w:val="39221800"/>
    <w:rsid w:val="39790BF7"/>
    <w:rsid w:val="39DF3CBC"/>
    <w:rsid w:val="3A233BEC"/>
    <w:rsid w:val="3BEF777E"/>
    <w:rsid w:val="3C072B93"/>
    <w:rsid w:val="3CC80944"/>
    <w:rsid w:val="3D1B6EF9"/>
    <w:rsid w:val="3D7F5F8E"/>
    <w:rsid w:val="3D921E94"/>
    <w:rsid w:val="3DA453D1"/>
    <w:rsid w:val="3EC263B9"/>
    <w:rsid w:val="3ECC1F89"/>
    <w:rsid w:val="3F9D0C74"/>
    <w:rsid w:val="41392E78"/>
    <w:rsid w:val="415F5497"/>
    <w:rsid w:val="4197547A"/>
    <w:rsid w:val="421E37E2"/>
    <w:rsid w:val="42866D19"/>
    <w:rsid w:val="42883C62"/>
    <w:rsid w:val="431E0562"/>
    <w:rsid w:val="447D7607"/>
    <w:rsid w:val="448160DE"/>
    <w:rsid w:val="458B1CF2"/>
    <w:rsid w:val="45A06AE7"/>
    <w:rsid w:val="466F2AEA"/>
    <w:rsid w:val="47310655"/>
    <w:rsid w:val="476D28A6"/>
    <w:rsid w:val="47B77E17"/>
    <w:rsid w:val="47C65B25"/>
    <w:rsid w:val="4AB40DA6"/>
    <w:rsid w:val="4B123776"/>
    <w:rsid w:val="4B790F6D"/>
    <w:rsid w:val="4BE972BE"/>
    <w:rsid w:val="4BF27BC4"/>
    <w:rsid w:val="4C0900A9"/>
    <w:rsid w:val="4C4C1F96"/>
    <w:rsid w:val="4EAC5567"/>
    <w:rsid w:val="4EFB231A"/>
    <w:rsid w:val="4F8825D2"/>
    <w:rsid w:val="4F8F4AA2"/>
    <w:rsid w:val="50900CD5"/>
    <w:rsid w:val="51E61E37"/>
    <w:rsid w:val="52C540DD"/>
    <w:rsid w:val="52DB4E8A"/>
    <w:rsid w:val="52F155C2"/>
    <w:rsid w:val="534E3C57"/>
    <w:rsid w:val="53A21CF6"/>
    <w:rsid w:val="5435424F"/>
    <w:rsid w:val="54C6369A"/>
    <w:rsid w:val="553C2E77"/>
    <w:rsid w:val="55B138AF"/>
    <w:rsid w:val="569B4F2C"/>
    <w:rsid w:val="576A27C0"/>
    <w:rsid w:val="57A248AE"/>
    <w:rsid w:val="57B17988"/>
    <w:rsid w:val="597F6FAD"/>
    <w:rsid w:val="5992540D"/>
    <w:rsid w:val="5A4C5279"/>
    <w:rsid w:val="5A9D4E9D"/>
    <w:rsid w:val="5B8E51D5"/>
    <w:rsid w:val="5BBC6145"/>
    <w:rsid w:val="5C2F5114"/>
    <w:rsid w:val="5DDD30F8"/>
    <w:rsid w:val="5DE55007"/>
    <w:rsid w:val="5F5108C5"/>
    <w:rsid w:val="5F5962D8"/>
    <w:rsid w:val="5FBC1255"/>
    <w:rsid w:val="60BB7A26"/>
    <w:rsid w:val="60BE455E"/>
    <w:rsid w:val="613476DF"/>
    <w:rsid w:val="616823B8"/>
    <w:rsid w:val="616A3EBF"/>
    <w:rsid w:val="65677132"/>
    <w:rsid w:val="669467BA"/>
    <w:rsid w:val="66B25204"/>
    <w:rsid w:val="67940EB7"/>
    <w:rsid w:val="67BD2CFE"/>
    <w:rsid w:val="685110D7"/>
    <w:rsid w:val="68631160"/>
    <w:rsid w:val="6868025C"/>
    <w:rsid w:val="68D172A6"/>
    <w:rsid w:val="68D8387C"/>
    <w:rsid w:val="68E406E7"/>
    <w:rsid w:val="6A3D2E1A"/>
    <w:rsid w:val="6B4A3EB0"/>
    <w:rsid w:val="6BAA2B23"/>
    <w:rsid w:val="6BF34326"/>
    <w:rsid w:val="6C401F32"/>
    <w:rsid w:val="6C431322"/>
    <w:rsid w:val="6C504264"/>
    <w:rsid w:val="6C5F135F"/>
    <w:rsid w:val="6CA41529"/>
    <w:rsid w:val="6CD77B22"/>
    <w:rsid w:val="6D6D3719"/>
    <w:rsid w:val="6DBB2A7A"/>
    <w:rsid w:val="7044651D"/>
    <w:rsid w:val="706556EF"/>
    <w:rsid w:val="70B3482A"/>
    <w:rsid w:val="71020F4C"/>
    <w:rsid w:val="7212154B"/>
    <w:rsid w:val="721D161D"/>
    <w:rsid w:val="72650885"/>
    <w:rsid w:val="729A4383"/>
    <w:rsid w:val="72DA7C6D"/>
    <w:rsid w:val="72F9789D"/>
    <w:rsid w:val="730D778D"/>
    <w:rsid w:val="73EA65C6"/>
    <w:rsid w:val="742C0DD7"/>
    <w:rsid w:val="74337523"/>
    <w:rsid w:val="749E25CB"/>
    <w:rsid w:val="74AA54EE"/>
    <w:rsid w:val="7501705F"/>
    <w:rsid w:val="75260864"/>
    <w:rsid w:val="754A5C92"/>
    <w:rsid w:val="7551102E"/>
    <w:rsid w:val="75E470E4"/>
    <w:rsid w:val="761C5D18"/>
    <w:rsid w:val="767E76A5"/>
    <w:rsid w:val="768F2AC8"/>
    <w:rsid w:val="770E1842"/>
    <w:rsid w:val="7730111A"/>
    <w:rsid w:val="777C749A"/>
    <w:rsid w:val="77B87075"/>
    <w:rsid w:val="77D1412A"/>
    <w:rsid w:val="77DE2E6E"/>
    <w:rsid w:val="77F959B0"/>
    <w:rsid w:val="78A01A1D"/>
    <w:rsid w:val="78EA7811"/>
    <w:rsid w:val="78F94E65"/>
    <w:rsid w:val="7A995229"/>
    <w:rsid w:val="7B342789"/>
    <w:rsid w:val="7B416401"/>
    <w:rsid w:val="7B690127"/>
    <w:rsid w:val="7BD11AF2"/>
    <w:rsid w:val="7C5D530C"/>
    <w:rsid w:val="7D97216C"/>
    <w:rsid w:val="7EAF3E7B"/>
    <w:rsid w:val="7F233313"/>
    <w:rsid w:val="FCBEE9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qFormat="1" w:unhideWhenUsed="0" w:uiPriority="0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20" w:after="120" w:line="360" w:lineRule="auto"/>
      <w:jc w:val="both"/>
    </w:pPr>
    <w:rPr>
      <w:rFonts w:ascii="黑体" w:hAnsi="黑体" w:eastAsia="黑体" w:cs="宋体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8"/>
    <w:basedOn w:val="1"/>
    <w:next w:val="1"/>
    <w:semiHidden/>
    <w:qFormat/>
    <w:uiPriority w:val="0"/>
    <w:pPr>
      <w:tabs>
        <w:tab w:val="right" w:leader="dot" w:pos="9241"/>
      </w:tabs>
      <w:ind w:firstLine="607" w:firstLineChars="600"/>
      <w:jc w:val="left"/>
    </w:pPr>
    <w:rPr>
      <w:rFonts w:ascii="宋体" w:hAnsi="Times New Roman"/>
    </w:rPr>
  </w:style>
  <w:style w:type="paragraph" w:styleId="4">
    <w:name w:val="Date"/>
    <w:basedOn w:val="1"/>
    <w:next w:val="1"/>
    <w:link w:val="43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3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4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4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Emphasis"/>
    <w:basedOn w:val="9"/>
    <w:qFormat/>
    <w:uiPriority w:val="20"/>
    <w:rPr>
      <w:i/>
      <w:iCs/>
    </w:rPr>
  </w:style>
  <w:style w:type="character" w:styleId="11">
    <w:name w:val="Hyperlink"/>
    <w:basedOn w:val="9"/>
    <w:qFormat/>
    <w:uiPriority w:val="0"/>
    <w:rPr>
      <w:color w:val="0000FF"/>
      <w:spacing w:val="0"/>
      <w:w w:val="100"/>
      <w:szCs w:val="21"/>
      <w:u w:val="single"/>
      <w:lang w:val="en-US" w:eastAsia="zh-CN"/>
    </w:rPr>
  </w:style>
  <w:style w:type="character" w:customStyle="1" w:styleId="12">
    <w:name w:val="发布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13">
    <w:name w:val="封面一致性程度标识"/>
    <w:basedOn w:val="14"/>
    <w:qFormat/>
    <w:uiPriority w:val="0"/>
    <w:pPr>
      <w:framePr/>
      <w:spacing w:before="440"/>
    </w:pPr>
    <w:rPr>
      <w:rFonts w:ascii="宋体" w:eastAsia="宋体"/>
    </w:rPr>
  </w:style>
  <w:style w:type="paragraph" w:customStyle="1" w:styleId="14">
    <w:name w:val="封面标准英文名称"/>
    <w:basedOn w:val="15"/>
    <w:qFormat/>
    <w:uiPriority w:val="0"/>
    <w:pPr>
      <w:framePr/>
      <w:spacing w:before="370" w:line="400" w:lineRule="exact"/>
    </w:pPr>
    <w:rPr>
      <w:rFonts w:ascii="Times New Roman"/>
      <w:sz w:val="28"/>
      <w:szCs w:val="28"/>
    </w:rPr>
  </w:style>
  <w:style w:type="paragraph" w:customStyle="1" w:styleId="15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Calibri" w:eastAsia="黑体" w:cs="Times New Roman"/>
      <w:sz w:val="52"/>
      <w:lang w:val="en-US" w:eastAsia="zh-CN" w:bidi="ar-SA"/>
    </w:rPr>
  </w:style>
  <w:style w:type="paragraph" w:customStyle="1" w:styleId="16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Calibri" w:eastAsia="黑体" w:cs="Times New Roman"/>
      <w:sz w:val="21"/>
      <w:szCs w:val="21"/>
      <w:lang w:val="en-US" w:eastAsia="zh-CN" w:bidi="ar-SA"/>
    </w:rPr>
  </w:style>
  <w:style w:type="paragraph" w:customStyle="1" w:styleId="17">
    <w:name w:val="封面标准代替信息"/>
    <w:qFormat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Calibri" w:eastAsia="宋体" w:cs="Times New Roman"/>
      <w:sz w:val="21"/>
      <w:szCs w:val="21"/>
      <w:lang w:val="en-US" w:eastAsia="zh-CN" w:bidi="ar-SA"/>
    </w:rPr>
  </w:style>
  <w:style w:type="paragraph" w:customStyle="1" w:styleId="18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Calibri" w:eastAsia="黑体" w:cs="Times New Roman"/>
      <w:sz w:val="28"/>
      <w:szCs w:val="28"/>
      <w:lang w:val="en-US" w:eastAsia="zh-CN" w:bidi="ar-SA"/>
    </w:rPr>
  </w:style>
  <w:style w:type="paragraph" w:customStyle="1" w:styleId="19">
    <w:name w:val="封面标准文稿编辑信息"/>
    <w:basedOn w:val="20"/>
    <w:qFormat/>
    <w:uiPriority w:val="0"/>
    <w:pPr>
      <w:framePr/>
      <w:spacing w:before="180" w:line="180" w:lineRule="exact"/>
    </w:pPr>
    <w:rPr>
      <w:sz w:val="21"/>
    </w:rPr>
  </w:style>
  <w:style w:type="paragraph" w:customStyle="1" w:styleId="20">
    <w:name w:val="封面标准文稿类别"/>
    <w:basedOn w:val="13"/>
    <w:qFormat/>
    <w:uiPriority w:val="0"/>
    <w:pPr>
      <w:framePr/>
      <w:spacing w:after="160" w:line="240" w:lineRule="auto"/>
    </w:pPr>
    <w:rPr>
      <w:sz w:val="24"/>
    </w:rPr>
  </w:style>
  <w:style w:type="paragraph" w:customStyle="1" w:styleId="21">
    <w:name w:val="其他实施日期"/>
    <w:basedOn w:val="1"/>
    <w:qFormat/>
    <w:uiPriority w:val="0"/>
    <w:pPr>
      <w:framePr w:w="3997" w:h="471" w:hRule="exact" w:vSpace="181" w:wrap="around" w:vAnchor="page" w:hAnchor="page" w:x="7089" w:y="14097" w:anchorLock="1"/>
      <w:widowControl/>
      <w:jc w:val="right"/>
    </w:pPr>
    <w:rPr>
      <w:kern w:val="0"/>
      <w:sz w:val="28"/>
      <w:szCs w:val="20"/>
    </w:rPr>
  </w:style>
  <w:style w:type="paragraph" w:customStyle="1" w:styleId="22">
    <w:name w:val="其他发布日期"/>
    <w:basedOn w:val="1"/>
    <w:qFormat/>
    <w:uiPriority w:val="0"/>
    <w:pPr>
      <w:framePr w:w="3997" w:h="471" w:hRule="exact" w:vSpace="181" w:wrap="around" w:vAnchor="page" w:hAnchor="page" w:x="1419" w:y="14097" w:anchorLock="1"/>
      <w:widowControl/>
      <w:jc w:val="left"/>
    </w:pPr>
    <w:rPr>
      <w:kern w:val="0"/>
      <w:sz w:val="28"/>
      <w:szCs w:val="20"/>
    </w:rPr>
  </w:style>
  <w:style w:type="paragraph" w:customStyle="1" w:styleId="23">
    <w:name w:val="其他标准称谓"/>
    <w:next w:val="1"/>
    <w:qFormat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24">
    <w:name w:val="其他发布部门"/>
    <w:basedOn w:val="1"/>
    <w:qFormat/>
    <w:uiPriority w:val="0"/>
    <w:pPr>
      <w:framePr w:w="7938" w:h="1134" w:hRule="exact" w:hSpace="125" w:vSpace="181" w:wrap="around" w:vAnchor="page" w:hAnchor="page" w:x="2150" w:y="15310" w:anchorLock="1"/>
      <w:widowControl/>
      <w:spacing w:line="0" w:lineRule="atLeast"/>
      <w:jc w:val="center"/>
    </w:pPr>
    <w:rPr>
      <w:spacing w:val="20"/>
      <w:w w:val="135"/>
      <w:kern w:val="0"/>
      <w:sz w:val="28"/>
      <w:szCs w:val="20"/>
    </w:rPr>
  </w:style>
  <w:style w:type="paragraph" w:customStyle="1" w:styleId="25">
    <w:name w:val="其他标准标志"/>
    <w:basedOn w:val="1"/>
    <w:qFormat/>
    <w:uiPriority w:val="0"/>
    <w:pPr>
      <w:framePr w:w="6101" w:h="1389" w:hRule="exact" w:hSpace="181" w:vSpace="181" w:wrap="around" w:vAnchor="page" w:hAnchor="page" w:x="4673" w:y="942" w:anchorLock="1"/>
      <w:widowControl/>
      <w:shd w:val="solid" w:color="FFFFFF" w:fill="FFFFFF"/>
      <w:spacing w:line="0" w:lineRule="atLeast"/>
      <w:jc w:val="right"/>
    </w:pPr>
    <w:rPr>
      <w:b/>
      <w:w w:val="130"/>
      <w:kern w:val="0"/>
      <w:sz w:val="96"/>
      <w:szCs w:val="96"/>
    </w:rPr>
  </w:style>
  <w:style w:type="character" w:customStyle="1" w:styleId="26">
    <w:name w:val="段 Char"/>
    <w:basedOn w:val="9"/>
    <w:link w:val="27"/>
    <w:qFormat/>
    <w:uiPriority w:val="0"/>
    <w:rPr>
      <w:rFonts w:ascii="宋体"/>
    </w:rPr>
  </w:style>
  <w:style w:type="paragraph" w:customStyle="1" w:styleId="27">
    <w:name w:val="段"/>
    <w:link w:val="26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">
    <w:name w:val="前言、引言标题"/>
    <w:next w:val="27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29">
    <w:name w:val="一级条标题"/>
    <w:next w:val="27"/>
    <w:qFormat/>
    <w:uiPriority w:val="0"/>
    <w:pPr>
      <w:tabs>
        <w:tab w:val="left" w:pos="1440"/>
      </w:tabs>
      <w:spacing w:beforeLines="50" w:afterLines="50"/>
      <w:ind w:left="1440" w:hanging="72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30">
    <w:name w:val="章标题"/>
    <w:next w:val="27"/>
    <w:qFormat/>
    <w:uiPriority w:val="0"/>
    <w:pPr>
      <w:tabs>
        <w:tab w:val="left" w:pos="720"/>
      </w:tabs>
      <w:spacing w:beforeLines="100" w:afterLines="100"/>
      <w:ind w:left="720" w:hanging="72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31">
    <w:name w:val="终结线"/>
    <w:basedOn w:val="1"/>
    <w:qFormat/>
    <w:uiPriority w:val="0"/>
    <w:pPr>
      <w:framePr w:hSpace="181" w:vSpace="181" w:wrap="around" w:vAnchor="text" w:hAnchor="margin" w:xAlign="center" w:y="285"/>
    </w:pPr>
    <w:rPr>
      <w:rFonts w:ascii="Times New Roman" w:hAnsi="Times New Roman"/>
    </w:rPr>
  </w:style>
  <w:style w:type="paragraph" w:customStyle="1" w:styleId="32">
    <w:name w:val="Heading #5|1"/>
    <w:basedOn w:val="1"/>
    <w:qFormat/>
    <w:uiPriority w:val="0"/>
    <w:pPr>
      <w:spacing w:after="60"/>
      <w:outlineLvl w:val="4"/>
    </w:pPr>
    <w:rPr>
      <w:rFonts w:ascii="Times New Roman" w:hAnsi="Times New Roman"/>
      <w:sz w:val="20"/>
      <w:szCs w:val="20"/>
    </w:rPr>
  </w:style>
  <w:style w:type="paragraph" w:customStyle="1" w:styleId="33">
    <w:name w:val="Body text|3"/>
    <w:basedOn w:val="1"/>
    <w:qFormat/>
    <w:uiPriority w:val="0"/>
    <w:pPr>
      <w:spacing w:after="80"/>
    </w:pPr>
    <w:rPr>
      <w:rFonts w:ascii="Times New Roman" w:hAnsi="Times New Roman"/>
      <w:sz w:val="20"/>
      <w:szCs w:val="20"/>
    </w:rPr>
  </w:style>
  <w:style w:type="paragraph" w:customStyle="1" w:styleId="34">
    <w:name w:val="Body text|1"/>
    <w:basedOn w:val="1"/>
    <w:qFormat/>
    <w:uiPriority w:val="0"/>
    <w:pPr>
      <w:spacing w:after="60" w:line="334" w:lineRule="auto"/>
      <w:ind w:firstLine="400"/>
    </w:pPr>
    <w:rPr>
      <w:rFonts w:ascii="宋体" w:hAnsi="宋体"/>
      <w:sz w:val="20"/>
      <w:szCs w:val="20"/>
      <w:lang w:val="zh-TW" w:eastAsia="zh-TW" w:bidi="zh-TW"/>
    </w:rPr>
  </w:style>
  <w:style w:type="character" w:customStyle="1" w:styleId="35">
    <w:name w:val="批注框文本 字符"/>
    <w:basedOn w:val="9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36">
    <w:name w:val="目次、标准名称标题"/>
    <w:basedOn w:val="1"/>
    <w:next w:val="27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hAnsi="Times New Roman"/>
      <w:kern w:val="0"/>
      <w:sz w:val="32"/>
      <w:szCs w:val="20"/>
    </w:rPr>
  </w:style>
  <w:style w:type="paragraph" w:customStyle="1" w:styleId="37">
    <w:name w:val="二级条标题"/>
    <w:basedOn w:val="29"/>
    <w:next w:val="27"/>
    <w:qFormat/>
    <w:uiPriority w:val="0"/>
    <w:pPr>
      <w:tabs>
        <w:tab w:val="left" w:pos="2160"/>
        <w:tab w:val="clear" w:pos="1440"/>
      </w:tabs>
      <w:spacing w:before="50" w:after="50"/>
      <w:ind w:left="2160"/>
      <w:outlineLvl w:val="3"/>
    </w:pPr>
  </w:style>
  <w:style w:type="paragraph" w:customStyle="1" w:styleId="38">
    <w:name w:val="正文表标题"/>
    <w:next w:val="27"/>
    <w:qFormat/>
    <w:uiPriority w:val="0"/>
    <w:pPr>
      <w:tabs>
        <w:tab w:val="left" w:pos="360"/>
        <w:tab w:val="left" w:pos="720"/>
      </w:tabs>
      <w:spacing w:beforeLines="50" w:afterLines="50"/>
      <w:ind w:left="720" w:hanging="72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39">
    <w:name w:val="三级无"/>
    <w:basedOn w:val="1"/>
    <w:qFormat/>
    <w:uiPriority w:val="0"/>
    <w:pPr>
      <w:widowControl/>
      <w:jc w:val="left"/>
      <w:outlineLvl w:val="4"/>
    </w:pPr>
    <w:rPr>
      <w:rFonts w:ascii="宋体" w:hAnsi="Times New Roman"/>
      <w:kern w:val="0"/>
    </w:rPr>
  </w:style>
  <w:style w:type="character" w:customStyle="1" w:styleId="40">
    <w:name w:val="页眉 字符"/>
    <w:basedOn w:val="9"/>
    <w:link w:val="7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41">
    <w:name w:val="页脚 字符"/>
    <w:basedOn w:val="9"/>
    <w:link w:val="6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styleId="42">
    <w:name w:val="List Paragraph"/>
    <w:basedOn w:val="1"/>
    <w:qFormat/>
    <w:uiPriority w:val="99"/>
    <w:pPr>
      <w:ind w:firstLine="420" w:firstLineChars="200"/>
    </w:pPr>
  </w:style>
  <w:style w:type="character" w:customStyle="1" w:styleId="43">
    <w:name w:val="日期 字符"/>
    <w:basedOn w:val="9"/>
    <w:link w:val="4"/>
    <w:semiHidden/>
    <w:qFormat/>
    <w:uiPriority w:val="99"/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2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中国石油大学</Company>
  <Pages>6</Pages>
  <Words>1954</Words>
  <Characters>2398</Characters>
  <Lines>20</Lines>
  <Paragraphs>5</Paragraphs>
  <TotalTime>8</TotalTime>
  <ScaleCrop>false</ScaleCrop>
  <LinksUpToDate>false</LinksUpToDate>
  <CharactersWithSpaces>2502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2020-10-20T17:08:00Z</dcterms:created>
  <dc:creator>LRNOVO</dc:creator>
  <cp:lastModifiedBy>guest</cp:lastModifiedBy>
  <cp:lastPrinted>2024-06-04T16:24:00Z</cp:lastPrinted>
  <dcterms:modified xsi:type="dcterms:W3CDTF">2024-06-06T15:36:21Z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5786B6B229FD40AD99AA5BD52E955ABA_13</vt:lpwstr>
  </property>
</Properties>
</file>